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right="109"/>
      </w:pPr>
      <w:r>
        <w:rPr>
          <w:rFonts w:hint="eastAsia"/>
        </w:rPr>
        <w:t>西部证券股份有限公司</w:t>
      </w:r>
    </w:p>
    <w:p>
      <w:pPr>
        <w:pStyle w:val="14"/>
        <w:ind w:right="109"/>
      </w:pPr>
      <w:r>
        <w:rPr>
          <w:rFonts w:hint="eastAsia"/>
        </w:rPr>
        <w:t>深圳证券交易所质押式报价回购交易风险揭示书</w:t>
      </w:r>
    </w:p>
    <w:p>
      <w:pPr>
        <w:pStyle w:val="14"/>
        <w:ind w:right="109"/>
      </w:pPr>
    </w:p>
    <w:p>
      <w:pPr>
        <w:widowControl/>
        <w:spacing w:line="321" w:lineRule="auto"/>
        <w:ind w:right="453"/>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尊敬的投资者：</w:t>
      </w:r>
    </w:p>
    <w:p>
      <w:pPr>
        <w:widowControl/>
        <w:spacing w:line="321" w:lineRule="auto"/>
        <w:ind w:right="453"/>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 xml:space="preserve">    为了使您充分了解深圳证券交易所质押式报价回购业务（以下简称“报价回购”）的风险，依据《中华人民共和国证券法》等相关法律、法规、规章以及深圳证券交易所（以下简称“深交所”）和中国证券登记结算有限责任公司（以下简称“中国结算”）的相关业务规则及规定，西部证券股份有限公司（以下简称“西部证券”）特提供本风险揭示书。报价归回交易存在的风险包括但不限于以下内容：</w:t>
      </w:r>
      <w:r>
        <w:rPr>
          <w:rFonts w:ascii="宋体" w:hAnsi="宋体" w:eastAsia="宋体" w:cs="宋体"/>
          <w:spacing w:val="-2"/>
          <w:w w:val="95"/>
          <w:kern w:val="0"/>
          <w:sz w:val="28"/>
          <w:szCs w:val="24"/>
        </w:rPr>
        <w:t xml:space="preserve"> </w:t>
      </w:r>
    </w:p>
    <w:p>
      <w:pPr>
        <w:widowControl/>
        <w:spacing w:line="321" w:lineRule="auto"/>
        <w:ind w:right="453" w:firstLine="526" w:firstLineChars="200"/>
        <w:rPr>
          <w:rFonts w:ascii="宋体" w:hAnsi="宋体" w:eastAsia="宋体" w:cs="宋体"/>
          <w:spacing w:val="-2"/>
          <w:w w:val="95"/>
          <w:kern w:val="0"/>
          <w:sz w:val="28"/>
          <w:szCs w:val="24"/>
        </w:rPr>
      </w:pPr>
      <w:r>
        <w:rPr>
          <w:rFonts w:hint="eastAsia" w:ascii="宋体" w:hAnsi="宋体" w:eastAsia="宋体" w:cs="宋体"/>
          <w:b/>
          <w:spacing w:val="-2"/>
          <w:w w:val="95"/>
          <w:kern w:val="0"/>
          <w:sz w:val="28"/>
          <w:szCs w:val="24"/>
        </w:rPr>
        <w:t>一、参与适当性风险：</w:t>
      </w:r>
      <w:r>
        <w:rPr>
          <w:rFonts w:hint="eastAsia" w:ascii="宋体" w:hAnsi="宋体" w:eastAsia="宋体" w:cs="宋体"/>
          <w:spacing w:val="-2"/>
          <w:w w:val="95"/>
          <w:kern w:val="0"/>
          <w:sz w:val="28"/>
          <w:szCs w:val="24"/>
        </w:rPr>
        <w:t>在您办理报价回购业务前，应对自身参与的适当性、合法性进行审慎评估，包括但不限于：您应当根据自身的财务状况、实际需求、风险承受能力以及内部制度（若为机构客户）。审慎决定是否参与报价回购交易，确保参与主体和信息的真实、准确和完整，避免因不当参与而产生损失。同时，考虑到深交所报价回购业务属于低风险的场内交易品种，首次参与时，会对您的适当性相关信息进行评估，给予评估意见，后续再次参与时，不再重复进行适当性评估。</w:t>
      </w:r>
    </w:p>
    <w:p>
      <w:pPr>
        <w:widowControl/>
        <w:spacing w:line="321" w:lineRule="auto"/>
        <w:ind w:right="453" w:firstLine="526" w:firstLineChars="200"/>
        <w:rPr>
          <w:rFonts w:ascii="宋体" w:hAnsi="宋体" w:eastAsia="宋体" w:cs="宋体"/>
          <w:spacing w:val="-2"/>
          <w:w w:val="95"/>
          <w:kern w:val="0"/>
          <w:sz w:val="28"/>
          <w:szCs w:val="24"/>
        </w:rPr>
      </w:pPr>
      <w:r>
        <w:rPr>
          <w:rFonts w:hint="eastAsia" w:ascii="宋体" w:hAnsi="宋体" w:eastAsia="宋体" w:cs="宋体"/>
          <w:b/>
          <w:spacing w:val="-2"/>
          <w:w w:val="95"/>
          <w:kern w:val="0"/>
          <w:sz w:val="28"/>
          <w:szCs w:val="24"/>
        </w:rPr>
        <w:t>二、资质风险：</w:t>
      </w:r>
      <w:r>
        <w:rPr>
          <w:rFonts w:hint="eastAsia" w:ascii="宋体" w:hAnsi="宋体" w:eastAsia="宋体" w:cs="宋体"/>
          <w:spacing w:val="-2"/>
          <w:w w:val="95"/>
          <w:kern w:val="0"/>
          <w:sz w:val="28"/>
          <w:szCs w:val="24"/>
        </w:rPr>
        <w:t>您在参与报价回购交易前，须了解西部证券是否具有开通深交所报价回购业务的资质。</w:t>
      </w:r>
    </w:p>
    <w:p>
      <w:pPr>
        <w:widowControl/>
        <w:spacing w:line="321" w:lineRule="auto"/>
        <w:ind w:right="453" w:firstLine="526" w:firstLineChars="200"/>
        <w:rPr>
          <w:rFonts w:ascii="宋体" w:hAnsi="宋体" w:eastAsia="宋体" w:cs="宋体"/>
          <w:spacing w:val="-2"/>
          <w:w w:val="95"/>
          <w:kern w:val="0"/>
          <w:sz w:val="28"/>
          <w:szCs w:val="24"/>
        </w:rPr>
      </w:pPr>
      <w:r>
        <w:rPr>
          <w:rFonts w:hint="eastAsia" w:ascii="宋体" w:hAnsi="宋体" w:eastAsia="宋体" w:cs="宋体"/>
          <w:b/>
          <w:spacing w:val="-2"/>
          <w:w w:val="95"/>
          <w:kern w:val="0"/>
          <w:sz w:val="28"/>
          <w:szCs w:val="24"/>
        </w:rPr>
        <w:t>三、业务风险：</w:t>
      </w:r>
      <w:r>
        <w:rPr>
          <w:rFonts w:hint="eastAsia" w:ascii="宋体" w:hAnsi="宋体" w:eastAsia="宋体" w:cs="宋体"/>
          <w:spacing w:val="-2"/>
          <w:w w:val="95"/>
          <w:kern w:val="0"/>
          <w:sz w:val="28"/>
          <w:szCs w:val="24"/>
        </w:rPr>
        <w:t>报价回购交易具有市场风险、信用风险、流动性风险、操作风险、质押券风险、利益冲突风险、技术风险、政策风险、不可抗力风险、法律风险等各类风险。</w:t>
      </w:r>
    </w:p>
    <w:p>
      <w:pPr>
        <w:widowControl/>
        <w:spacing w:line="321" w:lineRule="auto"/>
        <w:ind w:right="453"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1、市场风险</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报价回购交易的报价由西部证券公布，您的初始委托申报成功即视为同意并接受该报价。若市场发生变化，已达成的交易报价不会进行相应调整，您可能面临无法获取更高收益的风险。</w:t>
      </w:r>
    </w:p>
    <w:p>
      <w:pPr>
        <w:widowControl/>
        <w:spacing w:line="321" w:lineRule="auto"/>
        <w:ind w:right="453"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2、信用风险</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您必须关注报价回购交易中可能面临的质押券及交易对手信用风险，以及由此可能造成的损失，包括但不限于西部证券原因导致证券或资金划付失败，因标的资产违约、质押物价值波动、折算率调整、司法冻结或扣划等导致质押物不能足额担保所有报价回购债务，以及西部证券被暂停或终止报价回购权限、进入风险处置或破产程序等。</w:t>
      </w:r>
    </w:p>
    <w:p>
      <w:pPr>
        <w:widowControl/>
        <w:spacing w:line="321" w:lineRule="auto"/>
        <w:ind w:right="453"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3、流动性风险</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1）资金划付失败的风险：报价回购交易中，初始交易及购回交易中均可能出现因资金不足、系统故障等导致T+1日（T为交易日）资金划付失败，需要将相应资金划付延迟至T+2日所带来的风险。如果T+2日仍无法完成资金划付，则属于违约，相应的违约方应承担违约责任。</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2）资金购回限制的风险：在报价回购交易中可能发生影响投资者的资金使用安排和流动性的情形，包括但不限于：报价回购发生巨额提前购回时，西部证券有权根据《西部证券股份有限公司深圳证券交易所质押式报价回购业务客户协议》（以下简称“《客户协议》”）的约定拒绝接受提前购回申请。在任一交易日内，若任一固定期限回购品种的当日累计提前购回委托总金额超过前一交易日日终该品种未到期余额的30%，西部证券有权不接受投资者提前购回委托申请。</w:t>
      </w:r>
    </w:p>
    <w:p>
      <w:pPr>
        <w:widowControl/>
        <w:spacing w:line="321" w:lineRule="auto"/>
        <w:ind w:right="453"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4、操作风险</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（1）您在报价回购交易中面临操作风险，以及由此可能造成的损失，包括但不限于因西部证券原因交易不能按期达成、因通讯失效而不能及时送达相关信息，以及因投资者原因没有及时了解相关通知信息等。</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（2）您应妥善保管资金账户卡、身份证件和交易密码等资料的安全，如投资者将证券账户、身份证件、交易密码等出借给他人使用，或因投资者原因导致上述资料泄漏，由此造成的风险由您自行承担。</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（3）在报价回购交易的存续期间，您的联系方式发生变化，但未及时变更预留在西部证券的有效联系方式，导致西部证券无法通知其相关信息，由此产生的责任和风险由您自行承担。</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4）在报价回购交易的存续期间，西部证券将以《客户协议》约定的通知与送达方式及通讯地址，向其发送通知。通知发出后，将视作西部证券已经履行对投资者的通知义务。您无论因何种原因没有及时知晓有关通知内容，由此产生的责任和风险由您自行承担。</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（5）您提交报价回购委托后，不得申请撤销该委托，您如因操作失误导致提交委托，无法通过撤单方式取消，可能会影响您的资金使用安排和流动性。</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6）自动续做无法执行的风险：极端情况下，若出现固定期限品种可用额度不足等异常情况，将会导致您自动续做无法执行，则您自动续做的状态将自动取消。一旦取消自动续做，只能在再次购买时选择自动续做。</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（7）余额自动委托的风险</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①您开通余额委托权限期间，通过余额自动委托发起1天期报价回购品种初始委托申报的，您可能会存在当日无法转出或取出资金的风险。</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②您开通余额委托权限期间，通过余额自动委托发起1天期报价回购品种初始委托申报的，您可能会存在因可用额度不足导致委托失败的风险。</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③如您已签署过其他余额理财功能，则可能导致余额自动委托指令失败。</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④已开通了沪港通、深港通及快速交易系统权限的投资者，存在无法使用报价回购余额自动委托功能的风险，如因业务新增或调整导致权限互斥业务有所增加时，以西部证券公告为准。</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⑤余额自动委托功能为增值服务，西部证券有权单方取消提供余额自动委托服务，届时您存在无法继续使用余额自动委托功能的风险。</w:t>
      </w:r>
    </w:p>
    <w:p>
      <w:pPr>
        <w:widowControl/>
        <w:spacing w:line="321" w:lineRule="auto"/>
        <w:ind w:right="453"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5、质押券风险</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（1）质权效力风险：报价回购交易全部质押物设定的质权由西部证券所有报价回购未到期以及购回交易未完成交收的投资者共同享有, 您所享有的质权不对应具体质押物品种，您不得单独就质押物主张行使质权。当西部证券违约时，全体质权人可以共同行使质权。质押物处置所得由您按债权比例公平受偿。</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2）质押券处置风险：西部证券报价回购交易权限终止后，将首先由西部证券根据《客户协议》的约定对质押券进行处置，并由其将处置所得与担保资金之和按债权比例优先向投资者公平清偿。仅当西部证券怠于、不当或无法处置时，将由西部证券依据《客户协议》的约定委托进行质押券处置的机构对质押券进行处置。</w:t>
      </w:r>
    </w:p>
    <w:p>
      <w:pPr>
        <w:widowControl/>
        <w:spacing w:line="321" w:lineRule="auto"/>
        <w:ind w:right="453"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（3）质押物选择的风险：报价回购质押物包括债券、现金和基金专户份额等其他质押物。西部证券与您已在《客户协议》中明确约定质押物选择与担保价值计算的依据，由此带来的损失或风险由您自行承担。</w:t>
      </w:r>
    </w:p>
    <w:p>
      <w:pPr>
        <w:spacing w:line="560" w:lineRule="exact"/>
        <w:ind w:firstLine="526" w:firstLineChars="200"/>
        <w:rPr>
          <w:rFonts w:ascii="仿宋_GB2312" w:hAnsi="华文楷体" w:eastAsia="仿宋_GB2312"/>
          <w:sz w:val="24"/>
          <w:szCs w:val="24"/>
        </w:rPr>
      </w:pPr>
      <w:r>
        <w:rPr>
          <w:rFonts w:hint="eastAsia" w:ascii="宋体" w:hAnsi="宋体" w:eastAsia="宋体" w:cs="宋体"/>
          <w:b/>
          <w:spacing w:val="-2"/>
          <w:w w:val="95"/>
          <w:kern w:val="0"/>
          <w:sz w:val="28"/>
          <w:szCs w:val="24"/>
        </w:rPr>
        <w:t>6、利益冲突风险：</w:t>
      </w:r>
      <w:r>
        <w:rPr>
          <w:rFonts w:hint="eastAsia" w:ascii="宋体" w:hAnsi="宋体" w:eastAsia="宋体" w:cs="宋体"/>
          <w:spacing w:val="-2"/>
          <w:w w:val="95"/>
          <w:kern w:val="0"/>
          <w:sz w:val="28"/>
          <w:szCs w:val="24"/>
        </w:rPr>
        <w:t>在报价回购交易中，西部证券既是您的交易对手方，同时又接受您委托代为办理有关交易、登记结算等事宜，存在由此带来的利益冲突风险。</w:t>
      </w:r>
    </w:p>
    <w:p>
      <w:pPr>
        <w:spacing w:line="560" w:lineRule="exact"/>
        <w:ind w:firstLine="526" w:firstLineChars="200"/>
        <w:rPr>
          <w:rFonts w:ascii="仿宋_GB2312" w:hAnsi="华文楷体" w:eastAsia="仿宋_GB2312"/>
          <w:sz w:val="24"/>
          <w:szCs w:val="24"/>
        </w:rPr>
      </w:pPr>
      <w:r>
        <w:rPr>
          <w:rFonts w:hint="eastAsia" w:ascii="宋体" w:hAnsi="宋体" w:eastAsia="宋体" w:cs="宋体"/>
          <w:b/>
          <w:spacing w:val="-2"/>
          <w:w w:val="95"/>
          <w:kern w:val="0"/>
          <w:sz w:val="28"/>
          <w:szCs w:val="24"/>
        </w:rPr>
        <w:t>7、技术风险：</w:t>
      </w:r>
      <w:r>
        <w:rPr>
          <w:rFonts w:hint="eastAsia" w:ascii="宋体" w:hAnsi="宋体" w:eastAsia="宋体" w:cs="宋体"/>
          <w:spacing w:val="-2"/>
          <w:w w:val="95"/>
          <w:kern w:val="0"/>
          <w:sz w:val="28"/>
          <w:szCs w:val="24"/>
        </w:rPr>
        <w:t>在报价回购交易过程中，可能因为西部证券、交易所或证券登记结算公司的技术系统故障或者差错而影响交易的正常进行或者导致投资者的利益受到影响。</w:t>
      </w:r>
    </w:p>
    <w:p>
      <w:pPr>
        <w:spacing w:line="560" w:lineRule="exact"/>
        <w:ind w:firstLine="526" w:firstLineChars="200"/>
        <w:rPr>
          <w:rFonts w:ascii="仿宋_GB2312" w:hAnsi="华文楷体" w:eastAsia="仿宋_GB2312"/>
          <w:sz w:val="24"/>
          <w:szCs w:val="24"/>
        </w:rPr>
      </w:pPr>
      <w:r>
        <w:rPr>
          <w:rFonts w:hint="eastAsia" w:ascii="宋体" w:hAnsi="宋体" w:eastAsia="宋体" w:cs="宋体"/>
          <w:b/>
          <w:spacing w:val="-2"/>
          <w:w w:val="95"/>
          <w:kern w:val="0"/>
          <w:sz w:val="28"/>
          <w:szCs w:val="24"/>
        </w:rPr>
        <w:t>8、政策风险：</w:t>
      </w:r>
      <w:r>
        <w:rPr>
          <w:rFonts w:hint="eastAsia" w:ascii="宋体" w:hAnsi="宋体" w:eastAsia="宋体" w:cs="宋体"/>
          <w:spacing w:val="-2"/>
          <w:w w:val="95"/>
          <w:kern w:val="0"/>
          <w:sz w:val="28"/>
          <w:szCs w:val="24"/>
        </w:rPr>
        <w:t>由于国家法律法规、相关政策和规则的变化、修改等原因，可能会对投资者的存续交易产生不利影响，甚至造成经济损失。</w:t>
      </w:r>
    </w:p>
    <w:p>
      <w:pPr>
        <w:spacing w:line="560" w:lineRule="exact"/>
        <w:ind w:firstLine="526" w:firstLineChars="200"/>
        <w:rPr>
          <w:rFonts w:ascii="仿宋_GB2312" w:hAnsi="华文楷体" w:eastAsia="仿宋_GB2312"/>
          <w:sz w:val="24"/>
          <w:szCs w:val="24"/>
        </w:rPr>
      </w:pPr>
      <w:r>
        <w:rPr>
          <w:rFonts w:hint="eastAsia" w:ascii="宋体" w:hAnsi="宋体" w:eastAsia="宋体" w:cs="宋体"/>
          <w:b/>
          <w:spacing w:val="-2"/>
          <w:w w:val="95"/>
          <w:kern w:val="0"/>
          <w:sz w:val="28"/>
          <w:szCs w:val="24"/>
        </w:rPr>
        <w:t>9、不可抗力风险：</w:t>
      </w:r>
      <w:r>
        <w:rPr>
          <w:rFonts w:hint="eastAsia" w:ascii="宋体" w:hAnsi="宋体" w:eastAsia="宋体" w:cs="宋体"/>
          <w:spacing w:val="-2"/>
          <w:w w:val="95"/>
          <w:kern w:val="0"/>
          <w:sz w:val="28"/>
          <w:szCs w:val="24"/>
        </w:rPr>
        <w:t>在报价回购交易的存续期间，如果因出现火灾、地震、瘟疫、社会动乱等不能预见、避免或克服的不可抗力情形，可能会给您造成经济损失。</w:t>
      </w:r>
    </w:p>
    <w:p>
      <w:pPr>
        <w:spacing w:line="560" w:lineRule="exact"/>
        <w:ind w:firstLine="526" w:firstLineChars="200"/>
        <w:rPr>
          <w:rFonts w:ascii="仿宋_GB2312" w:hAnsi="华文楷体" w:eastAsia="仿宋_GB2312"/>
          <w:sz w:val="24"/>
          <w:szCs w:val="24"/>
        </w:rPr>
      </w:pPr>
      <w:r>
        <w:rPr>
          <w:rFonts w:hint="eastAsia" w:ascii="宋体" w:hAnsi="宋体" w:eastAsia="宋体" w:cs="宋体"/>
          <w:b/>
          <w:spacing w:val="-2"/>
          <w:w w:val="95"/>
          <w:kern w:val="0"/>
          <w:sz w:val="28"/>
          <w:szCs w:val="24"/>
        </w:rPr>
        <w:t>10、法律风险：</w:t>
      </w:r>
      <w:r>
        <w:rPr>
          <w:rFonts w:hint="eastAsia" w:ascii="宋体" w:hAnsi="宋体" w:eastAsia="宋体" w:cs="宋体"/>
          <w:spacing w:val="-2"/>
          <w:w w:val="95"/>
          <w:kern w:val="0"/>
          <w:sz w:val="28"/>
          <w:szCs w:val="24"/>
        </w:rPr>
        <w:t>因报价回购业务产生的任何争议、纠纷，由您和西部证券双方协商或通过诉讼或仲裁等方式解决，与任何第三方无关，您不得就报价回购交易向任何第三方主张权利或追究责任。报价回购业务已进入业务终止的，须先履行业务终止程序，业务终止程序履行完毕后，方可提交仲裁。</w:t>
      </w:r>
    </w:p>
    <w:p>
      <w:pPr>
        <w:spacing w:line="560" w:lineRule="exact"/>
        <w:ind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11、特别提示：</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（1）因上述风险的存在，可能直接导致您原始本金的损失；</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（2）因上述风险的存在，可能直接导致您超过原始本金的损失；</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（3）西部证券所提供的作为质押物的债券或基金专户份额的发行人、基金管理人、基金专户所投资资产的发行人及西部证券可能发生业务或者财产状况变化而存在影响您判断的重要事由，包括但不限于：</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①作为质押物的债券或基金专户份额的发行人、基金管理人、基金专户所投资资产的发行人可能由于所处行业整体经营形势的变化，或其经营管理等方面的因素，如经营决策重大失误、高级管理人员变更、重大诉讼等都可能引起特定债券、基金专户份额或基金专户所投资资产被暂停交易或终止交易，导致质押物折算率异常，可能不足以足额担保西部证券履行购回所有未到期报价回购的义务，极端情况下导致西部证券无法足额履行购回所有未到期报价回购的义务；</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②西部证券可能丧失开展交易所债券报价回购业务的相关资质，或因业务需要可能主动暂停开展深交所质押式报价回购业务；</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③作为质押物的债券或基金专户份额的发行人、基金管理人、基金专户所投资资产的发行人及西部证券可能发生经营情况恶化或财务状况变化；</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④作为质押物的债券或基金专户份额的发行人、基金管理人、基金专户所投资资产的发行人及西部证券可能发生解散、依法被撤销、破产等情况；</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（4）作为质押物的债券或基金专户份额的发行人、基金管理人、基金专户所投资资产的发行人及西部证券可能发生业务或财产状况变化，可能导致您本金或者原始本金发生亏损；</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5）请您特别注意《客户协议》、西部证券信天游App、网上交易系统、网站公示信息等材料中约定的限制投资者权利行使期限或者可解除协议期限等全部限制内容，具体请阅读《客户协议》和西西部证券信天游App、网上交易系统、网站公示信息，并向西部证券充分了解。</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（6）您应确保向西部证券提供的信息真实、准确、完整，因提供虚假信息西部证券有权采取暂停或取消质押式报价回购业务交易权限等控制措施，由此造成的损失由您自行承担。</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7）西部证券将按照监管规定持续对您进行适当性管理，若您的风险承受能力、投资目标、投资期限等发生变化，报价回购交易业务的适当性分级发生变化，您与报价回购交易业务的适当性匹配意见发生变化，西部证券有权要求您履行相关手续。</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（8）西部证券履行投资者适当性职责不能取代您的投资判断，不会降低报价回购交易业务的固有风险，也不会影响您依法承担相应的投资风险、履约责任以及费用。</w:t>
      </w:r>
      <w:bookmarkStart w:id="0" w:name="_GoBack"/>
      <w:bookmarkEnd w:id="0"/>
    </w:p>
    <w:p>
      <w:pPr>
        <w:spacing w:line="560" w:lineRule="exact"/>
        <w:ind w:firstLine="480" w:firstLineChars="200"/>
        <w:rPr>
          <w:rFonts w:ascii="仿宋_GB2312" w:hAnsi="华文楷体" w:eastAsia="仿宋_GB2312"/>
          <w:sz w:val="24"/>
          <w:szCs w:val="24"/>
        </w:rPr>
      </w:pPr>
    </w:p>
    <w:p>
      <w:pPr>
        <w:spacing w:line="560" w:lineRule="exact"/>
        <w:ind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本风险揭示书的揭示事项仅为列举性质，未能详尽列明报价回购交易的所有风险。投资者在参与报价回购交易前，应认真阅读相关业务规则及协议条款，对报价回购交易所特有的业务规则必须有所了解和掌握，并确信已做好足够的风险评估与财务安排，有足够的风险承受能力，避免因参与报价回购交易而遭受难以承受的损失。</w:t>
      </w:r>
    </w:p>
    <w:p>
      <w:pPr>
        <w:spacing w:line="560" w:lineRule="exact"/>
        <w:ind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本风险揭示书可以采用电子签名等电子方式签署，以电子方式签署本揭示书的，您使用资金账户及其他网上委托认证方式进行的网上委托、阅读并确认本揭示书，均视为您亲自办理和签署的行为，与在纸质文件上手写签名或盖章具有同等的法律效力，无需另行签署纸质合同，由此所产生的一切后果由您承担。</w:t>
      </w:r>
    </w:p>
    <w:p>
      <w:pPr>
        <w:spacing w:line="560" w:lineRule="exact"/>
        <w:ind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本人（或本机构）确认已知晓并理解质押式报价回购业务、《客户协议》及《风险揭示书》的全部内容及面临的风险，愿意承担参与报价回购交易的所有风险和损失。至此，本人（或本机构）自愿签署本协议，申请开通深圳质押式报价回购交易权限。</w:t>
      </w:r>
    </w:p>
    <w:p>
      <w:pPr>
        <w:spacing w:line="560" w:lineRule="exact"/>
        <w:ind w:firstLine="524" w:firstLineChars="200"/>
        <w:rPr>
          <w:rFonts w:ascii="宋体" w:hAnsi="宋体" w:eastAsia="宋体" w:cs="宋体"/>
          <w:spacing w:val="-2"/>
          <w:w w:val="95"/>
          <w:kern w:val="0"/>
          <w:sz w:val="28"/>
          <w:szCs w:val="24"/>
        </w:rPr>
      </w:pP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 xml:space="preserve">投资者（签字）：                              </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 xml:space="preserve">机构公章：                                    </w:t>
      </w:r>
    </w:p>
    <w:p>
      <w:pPr>
        <w:spacing w:line="560" w:lineRule="exact"/>
        <w:ind w:firstLine="524" w:firstLineChars="200"/>
        <w:rPr>
          <w:rFonts w:ascii="宋体" w:hAnsi="宋体" w:eastAsia="宋体" w:cs="宋体"/>
          <w:spacing w:val="-2"/>
          <w:w w:val="95"/>
          <w:kern w:val="0"/>
          <w:sz w:val="28"/>
          <w:szCs w:val="24"/>
        </w:rPr>
      </w:pPr>
      <w:r>
        <w:rPr>
          <w:rFonts w:hint="eastAsia" w:ascii="宋体" w:hAnsi="宋体" w:eastAsia="宋体" w:cs="宋体"/>
          <w:spacing w:val="-2"/>
          <w:w w:val="95"/>
          <w:kern w:val="0"/>
          <w:sz w:val="28"/>
          <w:szCs w:val="24"/>
        </w:rPr>
        <w:t xml:space="preserve">法定代表人或机构授权代表（签字）：             </w:t>
      </w:r>
    </w:p>
    <w:p>
      <w:pPr>
        <w:spacing w:line="560" w:lineRule="exact"/>
        <w:ind w:firstLine="524" w:firstLineChars="200"/>
        <w:rPr>
          <w:rFonts w:ascii="仿宋_GB2312" w:hAnsi="Calibri" w:eastAsia="仿宋_GB2312"/>
          <w:sz w:val="24"/>
          <w:szCs w:val="24"/>
        </w:rPr>
      </w:pPr>
      <w:r>
        <w:rPr>
          <w:rFonts w:hint="eastAsia" w:ascii="宋体" w:hAnsi="宋体" w:eastAsia="宋体" w:cs="宋体"/>
          <w:spacing w:val="-2"/>
          <w:w w:val="95"/>
          <w:kern w:val="0"/>
          <w:sz w:val="28"/>
          <w:szCs w:val="24"/>
        </w:rPr>
        <w:t xml:space="preserve">年 　月 　日      </w:t>
      </w:r>
      <w:r>
        <w:rPr>
          <w:rFonts w:hint="eastAsia" w:ascii="仿宋_GB2312" w:hAnsi="Calibri" w:eastAsia="仿宋_GB2312"/>
          <w:sz w:val="24"/>
          <w:szCs w:val="24"/>
        </w:rPr>
        <w:t xml:space="preserve">                  </w:t>
      </w:r>
      <w:r>
        <w:rPr>
          <w:rFonts w:hint="eastAsia" w:ascii="仿宋_GB2312" w:eastAsia="仿宋_GB2312"/>
          <w:sz w:val="24"/>
          <w:szCs w:val="24"/>
        </w:rPr>
        <w:t xml:space="preserve">        </w:t>
      </w:r>
      <w:r>
        <w:rPr>
          <w:rFonts w:hint="eastAsia" w:ascii="仿宋_GB2312" w:hAnsi="Calibri" w:eastAsia="仿宋_GB2312"/>
          <w:sz w:val="24"/>
          <w:szCs w:val="24"/>
        </w:rPr>
        <w:t xml:space="preserve">  </w:t>
      </w:r>
    </w:p>
    <w:p>
      <w:pPr>
        <w:rPr>
          <w:rFonts w:ascii="仿宋_GB2312" w:eastAsia="仿宋_GB2312"/>
          <w:sz w:val="24"/>
          <w:szCs w:val="24"/>
        </w:rPr>
      </w:pPr>
    </w:p>
    <w:p>
      <w:pPr>
        <w:spacing w:line="560" w:lineRule="exact"/>
        <w:rPr>
          <w:rFonts w:ascii="仿宋_GB2312" w:hAnsi="华文楷体" w:eastAsia="仿宋_GB2312"/>
          <w:sz w:val="24"/>
          <w:szCs w:val="24"/>
        </w:rPr>
      </w:pPr>
    </w:p>
    <w:p>
      <w:pPr>
        <w:spacing w:line="560" w:lineRule="exact"/>
        <w:rPr>
          <w:rFonts w:ascii="仿宋_GB2312" w:hAnsi="华文楷体" w:eastAsia="仿宋_GB2312"/>
          <w:sz w:val="24"/>
          <w:szCs w:val="24"/>
        </w:rPr>
      </w:pPr>
    </w:p>
    <w:p>
      <w:pPr>
        <w:spacing w:line="560" w:lineRule="exact"/>
        <w:rPr>
          <w:rFonts w:ascii="仿宋_GB2312" w:hAnsi="华文楷体" w:eastAsia="仿宋_GB2312"/>
          <w:sz w:val="24"/>
          <w:szCs w:val="24"/>
        </w:rPr>
      </w:pPr>
    </w:p>
    <w:p>
      <w:pPr>
        <w:spacing w:line="560" w:lineRule="exact"/>
        <w:ind w:firstLine="526" w:firstLineChars="200"/>
        <w:rPr>
          <w:rFonts w:ascii="宋体" w:hAnsi="宋体" w:eastAsia="宋体" w:cs="宋体"/>
          <w:b/>
          <w:spacing w:val="-2"/>
          <w:w w:val="95"/>
          <w:kern w:val="0"/>
          <w:sz w:val="28"/>
          <w:szCs w:val="24"/>
        </w:rPr>
      </w:pPr>
      <w:r>
        <w:rPr>
          <w:rFonts w:hint="eastAsia" w:ascii="宋体" w:hAnsi="宋体" w:eastAsia="宋体" w:cs="宋体"/>
          <w:b/>
          <w:spacing w:val="-2"/>
          <w:w w:val="95"/>
          <w:kern w:val="0"/>
          <w:sz w:val="28"/>
          <w:szCs w:val="24"/>
        </w:rPr>
        <w:t>注：《风险揭示书》应由投资者本人签署，当投资者为机构时，应由法定代表人或其授权代表签署并加盖公章。</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0MWViZmM2NDlkYzdlYzRlNjIzZDM2M2QzMThkNjAifQ=="/>
  </w:docVars>
  <w:rsids>
    <w:rsidRoot w:val="00631504"/>
    <w:rsid w:val="00002A86"/>
    <w:rsid w:val="00002E28"/>
    <w:rsid w:val="00004563"/>
    <w:rsid w:val="0000484B"/>
    <w:rsid w:val="00006181"/>
    <w:rsid w:val="00006494"/>
    <w:rsid w:val="00010E01"/>
    <w:rsid w:val="0001591C"/>
    <w:rsid w:val="00020CEA"/>
    <w:rsid w:val="0002755E"/>
    <w:rsid w:val="000315BD"/>
    <w:rsid w:val="00033451"/>
    <w:rsid w:val="000358E1"/>
    <w:rsid w:val="0003630F"/>
    <w:rsid w:val="000413B1"/>
    <w:rsid w:val="0004168A"/>
    <w:rsid w:val="00045604"/>
    <w:rsid w:val="000459CD"/>
    <w:rsid w:val="00052DD7"/>
    <w:rsid w:val="0005323D"/>
    <w:rsid w:val="0005351A"/>
    <w:rsid w:val="00054C67"/>
    <w:rsid w:val="000640D5"/>
    <w:rsid w:val="0006465D"/>
    <w:rsid w:val="00065931"/>
    <w:rsid w:val="00070243"/>
    <w:rsid w:val="000733B1"/>
    <w:rsid w:val="00075D1A"/>
    <w:rsid w:val="000803D5"/>
    <w:rsid w:val="000824B3"/>
    <w:rsid w:val="000927AE"/>
    <w:rsid w:val="00095120"/>
    <w:rsid w:val="00097839"/>
    <w:rsid w:val="00097E95"/>
    <w:rsid w:val="000A14CC"/>
    <w:rsid w:val="000A43BE"/>
    <w:rsid w:val="000A5271"/>
    <w:rsid w:val="000A573B"/>
    <w:rsid w:val="000B06F6"/>
    <w:rsid w:val="000B636A"/>
    <w:rsid w:val="000B7746"/>
    <w:rsid w:val="000C1B0E"/>
    <w:rsid w:val="000C2826"/>
    <w:rsid w:val="000C4BE6"/>
    <w:rsid w:val="000C7FF3"/>
    <w:rsid w:val="000D0F95"/>
    <w:rsid w:val="000D15EA"/>
    <w:rsid w:val="000D28B3"/>
    <w:rsid w:val="000D559E"/>
    <w:rsid w:val="000D71D1"/>
    <w:rsid w:val="000E25D8"/>
    <w:rsid w:val="000E3489"/>
    <w:rsid w:val="000E35FD"/>
    <w:rsid w:val="000E6F75"/>
    <w:rsid w:val="000F6C96"/>
    <w:rsid w:val="0010162D"/>
    <w:rsid w:val="0010678E"/>
    <w:rsid w:val="00106AB0"/>
    <w:rsid w:val="0011168E"/>
    <w:rsid w:val="00115D97"/>
    <w:rsid w:val="001208C8"/>
    <w:rsid w:val="00120AD5"/>
    <w:rsid w:val="00121761"/>
    <w:rsid w:val="00124CCF"/>
    <w:rsid w:val="00126147"/>
    <w:rsid w:val="00126729"/>
    <w:rsid w:val="0013045D"/>
    <w:rsid w:val="00133B48"/>
    <w:rsid w:val="001348DB"/>
    <w:rsid w:val="00137EAE"/>
    <w:rsid w:val="001408BB"/>
    <w:rsid w:val="001422E7"/>
    <w:rsid w:val="00142DC4"/>
    <w:rsid w:val="00143980"/>
    <w:rsid w:val="00145894"/>
    <w:rsid w:val="00155396"/>
    <w:rsid w:val="00157294"/>
    <w:rsid w:val="001606E9"/>
    <w:rsid w:val="00161CC1"/>
    <w:rsid w:val="00162096"/>
    <w:rsid w:val="00163E34"/>
    <w:rsid w:val="00171107"/>
    <w:rsid w:val="00171D84"/>
    <w:rsid w:val="00172999"/>
    <w:rsid w:val="00177CF8"/>
    <w:rsid w:val="00181BCB"/>
    <w:rsid w:val="00185B09"/>
    <w:rsid w:val="00190842"/>
    <w:rsid w:val="00191E85"/>
    <w:rsid w:val="00193BCA"/>
    <w:rsid w:val="001978A4"/>
    <w:rsid w:val="001A0563"/>
    <w:rsid w:val="001A549D"/>
    <w:rsid w:val="001B64BC"/>
    <w:rsid w:val="001B7C91"/>
    <w:rsid w:val="001C09F5"/>
    <w:rsid w:val="001C552B"/>
    <w:rsid w:val="001C724C"/>
    <w:rsid w:val="001D1EA9"/>
    <w:rsid w:val="001E1F1D"/>
    <w:rsid w:val="001F0DED"/>
    <w:rsid w:val="001F41C5"/>
    <w:rsid w:val="001F7A70"/>
    <w:rsid w:val="00200185"/>
    <w:rsid w:val="0020600B"/>
    <w:rsid w:val="00211435"/>
    <w:rsid w:val="0021249A"/>
    <w:rsid w:val="00214CC5"/>
    <w:rsid w:val="0021699B"/>
    <w:rsid w:val="00216FFA"/>
    <w:rsid w:val="00223359"/>
    <w:rsid w:val="0023241D"/>
    <w:rsid w:val="0023427D"/>
    <w:rsid w:val="0024121D"/>
    <w:rsid w:val="00245E11"/>
    <w:rsid w:val="00247AD7"/>
    <w:rsid w:val="00253C59"/>
    <w:rsid w:val="00254BF8"/>
    <w:rsid w:val="0026031F"/>
    <w:rsid w:val="0026095E"/>
    <w:rsid w:val="00262DBC"/>
    <w:rsid w:val="0027143F"/>
    <w:rsid w:val="0027505E"/>
    <w:rsid w:val="0027570B"/>
    <w:rsid w:val="00275756"/>
    <w:rsid w:val="00277CAE"/>
    <w:rsid w:val="002809AD"/>
    <w:rsid w:val="00280B80"/>
    <w:rsid w:val="002811BC"/>
    <w:rsid w:val="00281696"/>
    <w:rsid w:val="00282E71"/>
    <w:rsid w:val="00283F64"/>
    <w:rsid w:val="0028664F"/>
    <w:rsid w:val="002879EC"/>
    <w:rsid w:val="0029119E"/>
    <w:rsid w:val="00294985"/>
    <w:rsid w:val="002961A4"/>
    <w:rsid w:val="00297AD2"/>
    <w:rsid w:val="002A2560"/>
    <w:rsid w:val="002B0992"/>
    <w:rsid w:val="002B32EC"/>
    <w:rsid w:val="002B3368"/>
    <w:rsid w:val="002B4BA5"/>
    <w:rsid w:val="002C0979"/>
    <w:rsid w:val="002C1946"/>
    <w:rsid w:val="002C38CD"/>
    <w:rsid w:val="002C4990"/>
    <w:rsid w:val="002C4ADF"/>
    <w:rsid w:val="002C6148"/>
    <w:rsid w:val="002C753D"/>
    <w:rsid w:val="002D0E12"/>
    <w:rsid w:val="002D5D1C"/>
    <w:rsid w:val="002E178D"/>
    <w:rsid w:val="002E3E52"/>
    <w:rsid w:val="002E53AC"/>
    <w:rsid w:val="002F0ADB"/>
    <w:rsid w:val="002F296D"/>
    <w:rsid w:val="002F3434"/>
    <w:rsid w:val="002F4012"/>
    <w:rsid w:val="002F525E"/>
    <w:rsid w:val="002F606E"/>
    <w:rsid w:val="002F6E6C"/>
    <w:rsid w:val="00301C37"/>
    <w:rsid w:val="0030342A"/>
    <w:rsid w:val="00304867"/>
    <w:rsid w:val="00305478"/>
    <w:rsid w:val="00310234"/>
    <w:rsid w:val="00311846"/>
    <w:rsid w:val="00314589"/>
    <w:rsid w:val="00317977"/>
    <w:rsid w:val="00321CA7"/>
    <w:rsid w:val="0032703E"/>
    <w:rsid w:val="0033349A"/>
    <w:rsid w:val="00333AEA"/>
    <w:rsid w:val="0034395D"/>
    <w:rsid w:val="00346CF2"/>
    <w:rsid w:val="00351645"/>
    <w:rsid w:val="0035236D"/>
    <w:rsid w:val="00355043"/>
    <w:rsid w:val="00355368"/>
    <w:rsid w:val="00357E83"/>
    <w:rsid w:val="0036244C"/>
    <w:rsid w:val="00365AF3"/>
    <w:rsid w:val="0037150A"/>
    <w:rsid w:val="00371ED3"/>
    <w:rsid w:val="00375CA1"/>
    <w:rsid w:val="003A02E5"/>
    <w:rsid w:val="003A2343"/>
    <w:rsid w:val="003A3AAA"/>
    <w:rsid w:val="003A4ED6"/>
    <w:rsid w:val="003B11C8"/>
    <w:rsid w:val="003B3734"/>
    <w:rsid w:val="003B3D87"/>
    <w:rsid w:val="003B64A0"/>
    <w:rsid w:val="003C519C"/>
    <w:rsid w:val="003D1F0D"/>
    <w:rsid w:val="003D3654"/>
    <w:rsid w:val="003D368A"/>
    <w:rsid w:val="003D7F45"/>
    <w:rsid w:val="003E5157"/>
    <w:rsid w:val="003E5641"/>
    <w:rsid w:val="003F3162"/>
    <w:rsid w:val="003F436C"/>
    <w:rsid w:val="003F4AF1"/>
    <w:rsid w:val="004064F5"/>
    <w:rsid w:val="0040732A"/>
    <w:rsid w:val="00410361"/>
    <w:rsid w:val="00412D1F"/>
    <w:rsid w:val="00414FB2"/>
    <w:rsid w:val="00417EB9"/>
    <w:rsid w:val="0042153B"/>
    <w:rsid w:val="004234CC"/>
    <w:rsid w:val="00426057"/>
    <w:rsid w:val="004276FB"/>
    <w:rsid w:val="0043169E"/>
    <w:rsid w:val="0044142B"/>
    <w:rsid w:val="004427FF"/>
    <w:rsid w:val="00444A3D"/>
    <w:rsid w:val="00444DD7"/>
    <w:rsid w:val="00447997"/>
    <w:rsid w:val="00450A3F"/>
    <w:rsid w:val="00452BDA"/>
    <w:rsid w:val="00462CCB"/>
    <w:rsid w:val="00463832"/>
    <w:rsid w:val="00463B15"/>
    <w:rsid w:val="00470A69"/>
    <w:rsid w:val="00474283"/>
    <w:rsid w:val="00476E06"/>
    <w:rsid w:val="00477337"/>
    <w:rsid w:val="00490A2C"/>
    <w:rsid w:val="00491B94"/>
    <w:rsid w:val="00493D50"/>
    <w:rsid w:val="00495B31"/>
    <w:rsid w:val="004A2524"/>
    <w:rsid w:val="004A5291"/>
    <w:rsid w:val="004B18C4"/>
    <w:rsid w:val="004B2E77"/>
    <w:rsid w:val="004C0443"/>
    <w:rsid w:val="004C0B2B"/>
    <w:rsid w:val="004C103C"/>
    <w:rsid w:val="004C1135"/>
    <w:rsid w:val="004C379F"/>
    <w:rsid w:val="004C7728"/>
    <w:rsid w:val="004C77FE"/>
    <w:rsid w:val="004D175C"/>
    <w:rsid w:val="004D46DF"/>
    <w:rsid w:val="004D7333"/>
    <w:rsid w:val="004E2464"/>
    <w:rsid w:val="004E315D"/>
    <w:rsid w:val="004E3A35"/>
    <w:rsid w:val="004E42C0"/>
    <w:rsid w:val="004E4388"/>
    <w:rsid w:val="004E4D17"/>
    <w:rsid w:val="004E5605"/>
    <w:rsid w:val="004F0FB1"/>
    <w:rsid w:val="004F1349"/>
    <w:rsid w:val="004F30B1"/>
    <w:rsid w:val="004F4C95"/>
    <w:rsid w:val="004F7BF0"/>
    <w:rsid w:val="00500D7B"/>
    <w:rsid w:val="00507335"/>
    <w:rsid w:val="0050757D"/>
    <w:rsid w:val="00513E62"/>
    <w:rsid w:val="00515991"/>
    <w:rsid w:val="00516BFD"/>
    <w:rsid w:val="0051742E"/>
    <w:rsid w:val="00517BFF"/>
    <w:rsid w:val="00526983"/>
    <w:rsid w:val="00530E0F"/>
    <w:rsid w:val="00532033"/>
    <w:rsid w:val="0053302A"/>
    <w:rsid w:val="00533570"/>
    <w:rsid w:val="005336C1"/>
    <w:rsid w:val="00533F40"/>
    <w:rsid w:val="00535D69"/>
    <w:rsid w:val="005369CC"/>
    <w:rsid w:val="005372B6"/>
    <w:rsid w:val="00546D18"/>
    <w:rsid w:val="0055102A"/>
    <w:rsid w:val="0055276E"/>
    <w:rsid w:val="005529E1"/>
    <w:rsid w:val="00556163"/>
    <w:rsid w:val="00556217"/>
    <w:rsid w:val="00565EB7"/>
    <w:rsid w:val="00567849"/>
    <w:rsid w:val="0057237D"/>
    <w:rsid w:val="00576088"/>
    <w:rsid w:val="005772F9"/>
    <w:rsid w:val="00580883"/>
    <w:rsid w:val="00580D40"/>
    <w:rsid w:val="00582FF6"/>
    <w:rsid w:val="00584DB8"/>
    <w:rsid w:val="005851DC"/>
    <w:rsid w:val="00585306"/>
    <w:rsid w:val="0058647A"/>
    <w:rsid w:val="00591FB1"/>
    <w:rsid w:val="00594E89"/>
    <w:rsid w:val="00597E20"/>
    <w:rsid w:val="005A272B"/>
    <w:rsid w:val="005A5D99"/>
    <w:rsid w:val="005A7DB0"/>
    <w:rsid w:val="005B1AD1"/>
    <w:rsid w:val="005B4609"/>
    <w:rsid w:val="005B7139"/>
    <w:rsid w:val="005B7683"/>
    <w:rsid w:val="005C59B3"/>
    <w:rsid w:val="005D047E"/>
    <w:rsid w:val="005D1DA9"/>
    <w:rsid w:val="005D21C5"/>
    <w:rsid w:val="005D489E"/>
    <w:rsid w:val="005D709A"/>
    <w:rsid w:val="005E2265"/>
    <w:rsid w:val="005E3585"/>
    <w:rsid w:val="005E3FCB"/>
    <w:rsid w:val="005E72A7"/>
    <w:rsid w:val="005F020D"/>
    <w:rsid w:val="005F09C1"/>
    <w:rsid w:val="005F441D"/>
    <w:rsid w:val="005F4CCA"/>
    <w:rsid w:val="005F61A8"/>
    <w:rsid w:val="00602A3C"/>
    <w:rsid w:val="00603C14"/>
    <w:rsid w:val="00603FEC"/>
    <w:rsid w:val="00607B5C"/>
    <w:rsid w:val="00612559"/>
    <w:rsid w:val="0061617F"/>
    <w:rsid w:val="00620DB2"/>
    <w:rsid w:val="00621A83"/>
    <w:rsid w:val="00624384"/>
    <w:rsid w:val="00630D5B"/>
    <w:rsid w:val="00631504"/>
    <w:rsid w:val="00632602"/>
    <w:rsid w:val="0064248B"/>
    <w:rsid w:val="0065187E"/>
    <w:rsid w:val="00655761"/>
    <w:rsid w:val="006601EE"/>
    <w:rsid w:val="00663E8A"/>
    <w:rsid w:val="00665E66"/>
    <w:rsid w:val="006671EA"/>
    <w:rsid w:val="006713B0"/>
    <w:rsid w:val="00673ED0"/>
    <w:rsid w:val="00675CE3"/>
    <w:rsid w:val="006774B9"/>
    <w:rsid w:val="006775AC"/>
    <w:rsid w:val="00681388"/>
    <w:rsid w:val="00684071"/>
    <w:rsid w:val="00695B34"/>
    <w:rsid w:val="006A4156"/>
    <w:rsid w:val="006A481E"/>
    <w:rsid w:val="006A4D15"/>
    <w:rsid w:val="006A5DA6"/>
    <w:rsid w:val="006B48F9"/>
    <w:rsid w:val="006B6487"/>
    <w:rsid w:val="006B6844"/>
    <w:rsid w:val="006C1530"/>
    <w:rsid w:val="006C2C5B"/>
    <w:rsid w:val="006D1576"/>
    <w:rsid w:val="006D1DC0"/>
    <w:rsid w:val="006D45A8"/>
    <w:rsid w:val="006D4634"/>
    <w:rsid w:val="006D779C"/>
    <w:rsid w:val="006E16AA"/>
    <w:rsid w:val="006E3E7A"/>
    <w:rsid w:val="006F71F6"/>
    <w:rsid w:val="007011D7"/>
    <w:rsid w:val="007046E0"/>
    <w:rsid w:val="007116BD"/>
    <w:rsid w:val="0071565F"/>
    <w:rsid w:val="00721B77"/>
    <w:rsid w:val="00722066"/>
    <w:rsid w:val="00722C42"/>
    <w:rsid w:val="00722E8F"/>
    <w:rsid w:val="00724A56"/>
    <w:rsid w:val="007266E1"/>
    <w:rsid w:val="007313A0"/>
    <w:rsid w:val="00734A66"/>
    <w:rsid w:val="007353B0"/>
    <w:rsid w:val="0073767C"/>
    <w:rsid w:val="00745D1B"/>
    <w:rsid w:val="0074645E"/>
    <w:rsid w:val="00747330"/>
    <w:rsid w:val="00747FB5"/>
    <w:rsid w:val="007521E5"/>
    <w:rsid w:val="007525E2"/>
    <w:rsid w:val="00755586"/>
    <w:rsid w:val="007609CC"/>
    <w:rsid w:val="00761C3F"/>
    <w:rsid w:val="007627A1"/>
    <w:rsid w:val="00776855"/>
    <w:rsid w:val="0077785E"/>
    <w:rsid w:val="00782FB4"/>
    <w:rsid w:val="00784A83"/>
    <w:rsid w:val="00784A98"/>
    <w:rsid w:val="00791896"/>
    <w:rsid w:val="0079302C"/>
    <w:rsid w:val="007A09BD"/>
    <w:rsid w:val="007A2FAF"/>
    <w:rsid w:val="007B31CC"/>
    <w:rsid w:val="007B4F80"/>
    <w:rsid w:val="007B60B4"/>
    <w:rsid w:val="007B6556"/>
    <w:rsid w:val="007B7798"/>
    <w:rsid w:val="007B7E0E"/>
    <w:rsid w:val="007C06EF"/>
    <w:rsid w:val="007C473F"/>
    <w:rsid w:val="007C5B54"/>
    <w:rsid w:val="007D1DA2"/>
    <w:rsid w:val="007D20BB"/>
    <w:rsid w:val="007D5D48"/>
    <w:rsid w:val="007F01C9"/>
    <w:rsid w:val="007F18AB"/>
    <w:rsid w:val="007F4CB7"/>
    <w:rsid w:val="00803C8C"/>
    <w:rsid w:val="00805D3C"/>
    <w:rsid w:val="00812B20"/>
    <w:rsid w:val="0081517C"/>
    <w:rsid w:val="008208FB"/>
    <w:rsid w:val="00820C39"/>
    <w:rsid w:val="00824FB6"/>
    <w:rsid w:val="00825555"/>
    <w:rsid w:val="008265C2"/>
    <w:rsid w:val="008279E5"/>
    <w:rsid w:val="00830708"/>
    <w:rsid w:val="0083188B"/>
    <w:rsid w:val="008379F2"/>
    <w:rsid w:val="00847135"/>
    <w:rsid w:val="0085083B"/>
    <w:rsid w:val="0085401A"/>
    <w:rsid w:val="00854585"/>
    <w:rsid w:val="00856853"/>
    <w:rsid w:val="00856FF6"/>
    <w:rsid w:val="00857563"/>
    <w:rsid w:val="0086197D"/>
    <w:rsid w:val="00862F4B"/>
    <w:rsid w:val="00863E7C"/>
    <w:rsid w:val="008662C8"/>
    <w:rsid w:val="00871746"/>
    <w:rsid w:val="008726EA"/>
    <w:rsid w:val="00873490"/>
    <w:rsid w:val="00876AFD"/>
    <w:rsid w:val="00877B42"/>
    <w:rsid w:val="00877FB7"/>
    <w:rsid w:val="00880176"/>
    <w:rsid w:val="00886794"/>
    <w:rsid w:val="008925D9"/>
    <w:rsid w:val="00893031"/>
    <w:rsid w:val="008936FB"/>
    <w:rsid w:val="00893863"/>
    <w:rsid w:val="008A0C66"/>
    <w:rsid w:val="008A1036"/>
    <w:rsid w:val="008A1257"/>
    <w:rsid w:val="008A1D3D"/>
    <w:rsid w:val="008A2D9C"/>
    <w:rsid w:val="008A3829"/>
    <w:rsid w:val="008A46E8"/>
    <w:rsid w:val="008B23CB"/>
    <w:rsid w:val="008B40D0"/>
    <w:rsid w:val="008B4108"/>
    <w:rsid w:val="008B44EB"/>
    <w:rsid w:val="008B53B6"/>
    <w:rsid w:val="008C1EBB"/>
    <w:rsid w:val="008C2B9C"/>
    <w:rsid w:val="008C30C8"/>
    <w:rsid w:val="008C7709"/>
    <w:rsid w:val="008D17ED"/>
    <w:rsid w:val="008D32BE"/>
    <w:rsid w:val="008D4D40"/>
    <w:rsid w:val="008D6230"/>
    <w:rsid w:val="008E0CEB"/>
    <w:rsid w:val="008E0E59"/>
    <w:rsid w:val="008E1BA2"/>
    <w:rsid w:val="008E2FDB"/>
    <w:rsid w:val="008E3266"/>
    <w:rsid w:val="008E48AB"/>
    <w:rsid w:val="008F1EDD"/>
    <w:rsid w:val="008F4484"/>
    <w:rsid w:val="008F4591"/>
    <w:rsid w:val="008F6A89"/>
    <w:rsid w:val="009023F6"/>
    <w:rsid w:val="0090464B"/>
    <w:rsid w:val="0090679B"/>
    <w:rsid w:val="00917F75"/>
    <w:rsid w:val="00922149"/>
    <w:rsid w:val="009228EF"/>
    <w:rsid w:val="009272CF"/>
    <w:rsid w:val="009317A3"/>
    <w:rsid w:val="00934EBA"/>
    <w:rsid w:val="00937FAC"/>
    <w:rsid w:val="0094056C"/>
    <w:rsid w:val="00941AAD"/>
    <w:rsid w:val="00943E11"/>
    <w:rsid w:val="00944717"/>
    <w:rsid w:val="0094737D"/>
    <w:rsid w:val="0095072C"/>
    <w:rsid w:val="009512DD"/>
    <w:rsid w:val="0095658A"/>
    <w:rsid w:val="00956D35"/>
    <w:rsid w:val="00957EAC"/>
    <w:rsid w:val="009625DF"/>
    <w:rsid w:val="00966AD1"/>
    <w:rsid w:val="00967865"/>
    <w:rsid w:val="0097126C"/>
    <w:rsid w:val="00976A67"/>
    <w:rsid w:val="00977B76"/>
    <w:rsid w:val="009849C0"/>
    <w:rsid w:val="00984E8B"/>
    <w:rsid w:val="009879AF"/>
    <w:rsid w:val="00987DE2"/>
    <w:rsid w:val="009942D2"/>
    <w:rsid w:val="0099784E"/>
    <w:rsid w:val="009B0C13"/>
    <w:rsid w:val="009B21D7"/>
    <w:rsid w:val="009B3D50"/>
    <w:rsid w:val="009B41D1"/>
    <w:rsid w:val="009C20C1"/>
    <w:rsid w:val="009C2728"/>
    <w:rsid w:val="009C4466"/>
    <w:rsid w:val="009D13DA"/>
    <w:rsid w:val="009D751A"/>
    <w:rsid w:val="009E4C8F"/>
    <w:rsid w:val="009F38E6"/>
    <w:rsid w:val="009F3D5E"/>
    <w:rsid w:val="009F7F92"/>
    <w:rsid w:val="00A00535"/>
    <w:rsid w:val="00A0632B"/>
    <w:rsid w:val="00A077B1"/>
    <w:rsid w:val="00A07FB1"/>
    <w:rsid w:val="00A13A1D"/>
    <w:rsid w:val="00A200EF"/>
    <w:rsid w:val="00A23AEC"/>
    <w:rsid w:val="00A2408A"/>
    <w:rsid w:val="00A263E0"/>
    <w:rsid w:val="00A30ADC"/>
    <w:rsid w:val="00A31184"/>
    <w:rsid w:val="00A32CD5"/>
    <w:rsid w:val="00A32FF8"/>
    <w:rsid w:val="00A350F2"/>
    <w:rsid w:val="00A358C8"/>
    <w:rsid w:val="00A412C8"/>
    <w:rsid w:val="00A44310"/>
    <w:rsid w:val="00A517EE"/>
    <w:rsid w:val="00A51B7D"/>
    <w:rsid w:val="00A56FB1"/>
    <w:rsid w:val="00A57BA5"/>
    <w:rsid w:val="00A604E7"/>
    <w:rsid w:val="00A6056B"/>
    <w:rsid w:val="00A61605"/>
    <w:rsid w:val="00A61816"/>
    <w:rsid w:val="00A64801"/>
    <w:rsid w:val="00A64AF9"/>
    <w:rsid w:val="00A65FEF"/>
    <w:rsid w:val="00A8384B"/>
    <w:rsid w:val="00A847A4"/>
    <w:rsid w:val="00A90575"/>
    <w:rsid w:val="00AA03C7"/>
    <w:rsid w:val="00AB0824"/>
    <w:rsid w:val="00AB3182"/>
    <w:rsid w:val="00AB6589"/>
    <w:rsid w:val="00AC02A6"/>
    <w:rsid w:val="00AC259C"/>
    <w:rsid w:val="00AC4523"/>
    <w:rsid w:val="00AC59FF"/>
    <w:rsid w:val="00AD170E"/>
    <w:rsid w:val="00AD3DD8"/>
    <w:rsid w:val="00AD5484"/>
    <w:rsid w:val="00AD7095"/>
    <w:rsid w:val="00AD7E01"/>
    <w:rsid w:val="00AE0CA4"/>
    <w:rsid w:val="00AE311B"/>
    <w:rsid w:val="00AE46B4"/>
    <w:rsid w:val="00AE4E97"/>
    <w:rsid w:val="00AE6B1A"/>
    <w:rsid w:val="00AF0390"/>
    <w:rsid w:val="00AF06AB"/>
    <w:rsid w:val="00AF39FA"/>
    <w:rsid w:val="00B008E8"/>
    <w:rsid w:val="00B0325A"/>
    <w:rsid w:val="00B0378A"/>
    <w:rsid w:val="00B039DD"/>
    <w:rsid w:val="00B06DB1"/>
    <w:rsid w:val="00B07DC4"/>
    <w:rsid w:val="00B130D6"/>
    <w:rsid w:val="00B14986"/>
    <w:rsid w:val="00B15B2F"/>
    <w:rsid w:val="00B171A6"/>
    <w:rsid w:val="00B216D1"/>
    <w:rsid w:val="00B23C58"/>
    <w:rsid w:val="00B252B4"/>
    <w:rsid w:val="00B36EDF"/>
    <w:rsid w:val="00B37094"/>
    <w:rsid w:val="00B439C2"/>
    <w:rsid w:val="00B43E85"/>
    <w:rsid w:val="00B51AB6"/>
    <w:rsid w:val="00B548C6"/>
    <w:rsid w:val="00B54F7B"/>
    <w:rsid w:val="00B612EE"/>
    <w:rsid w:val="00B613D8"/>
    <w:rsid w:val="00B638A1"/>
    <w:rsid w:val="00B65B5E"/>
    <w:rsid w:val="00B671C1"/>
    <w:rsid w:val="00B674E1"/>
    <w:rsid w:val="00B7056F"/>
    <w:rsid w:val="00B75713"/>
    <w:rsid w:val="00B757E6"/>
    <w:rsid w:val="00B80192"/>
    <w:rsid w:val="00B8266F"/>
    <w:rsid w:val="00B87F20"/>
    <w:rsid w:val="00B90F93"/>
    <w:rsid w:val="00BA26D9"/>
    <w:rsid w:val="00BA3601"/>
    <w:rsid w:val="00BA61AD"/>
    <w:rsid w:val="00BB11BD"/>
    <w:rsid w:val="00BC0E40"/>
    <w:rsid w:val="00BC355D"/>
    <w:rsid w:val="00BC446F"/>
    <w:rsid w:val="00BC7A97"/>
    <w:rsid w:val="00BD087C"/>
    <w:rsid w:val="00BD171E"/>
    <w:rsid w:val="00BD314D"/>
    <w:rsid w:val="00BD34EA"/>
    <w:rsid w:val="00BD46AD"/>
    <w:rsid w:val="00BD6AD5"/>
    <w:rsid w:val="00BD7E0A"/>
    <w:rsid w:val="00BE0A7B"/>
    <w:rsid w:val="00BE1E47"/>
    <w:rsid w:val="00BE50E2"/>
    <w:rsid w:val="00BE5954"/>
    <w:rsid w:val="00BE6300"/>
    <w:rsid w:val="00BE6BA0"/>
    <w:rsid w:val="00BF2EDC"/>
    <w:rsid w:val="00BF4C74"/>
    <w:rsid w:val="00BF7CF9"/>
    <w:rsid w:val="00C01F96"/>
    <w:rsid w:val="00C04CD3"/>
    <w:rsid w:val="00C05BAB"/>
    <w:rsid w:val="00C12B99"/>
    <w:rsid w:val="00C14920"/>
    <w:rsid w:val="00C169ED"/>
    <w:rsid w:val="00C21582"/>
    <w:rsid w:val="00C21998"/>
    <w:rsid w:val="00C220D3"/>
    <w:rsid w:val="00C23CAA"/>
    <w:rsid w:val="00C25E5E"/>
    <w:rsid w:val="00C26934"/>
    <w:rsid w:val="00C303FE"/>
    <w:rsid w:val="00C31DBD"/>
    <w:rsid w:val="00C36487"/>
    <w:rsid w:val="00C37BC5"/>
    <w:rsid w:val="00C41EA4"/>
    <w:rsid w:val="00C45470"/>
    <w:rsid w:val="00C45FCF"/>
    <w:rsid w:val="00C4617D"/>
    <w:rsid w:val="00C478B3"/>
    <w:rsid w:val="00C505EE"/>
    <w:rsid w:val="00C55FA5"/>
    <w:rsid w:val="00C602AA"/>
    <w:rsid w:val="00C60DD3"/>
    <w:rsid w:val="00C625E0"/>
    <w:rsid w:val="00C72127"/>
    <w:rsid w:val="00C7508E"/>
    <w:rsid w:val="00C75BB4"/>
    <w:rsid w:val="00C84764"/>
    <w:rsid w:val="00C90AC6"/>
    <w:rsid w:val="00C91933"/>
    <w:rsid w:val="00C91A2C"/>
    <w:rsid w:val="00C92C41"/>
    <w:rsid w:val="00C93F2D"/>
    <w:rsid w:val="00CA38C1"/>
    <w:rsid w:val="00CB1BA8"/>
    <w:rsid w:val="00CB2733"/>
    <w:rsid w:val="00CB29CE"/>
    <w:rsid w:val="00CB3529"/>
    <w:rsid w:val="00CB4412"/>
    <w:rsid w:val="00CB55CB"/>
    <w:rsid w:val="00CB5623"/>
    <w:rsid w:val="00CB5D45"/>
    <w:rsid w:val="00CD0B58"/>
    <w:rsid w:val="00CD3732"/>
    <w:rsid w:val="00CD6820"/>
    <w:rsid w:val="00CE35BC"/>
    <w:rsid w:val="00CE672C"/>
    <w:rsid w:val="00CE6BE8"/>
    <w:rsid w:val="00CF0A4E"/>
    <w:rsid w:val="00CF1EF8"/>
    <w:rsid w:val="00CF2496"/>
    <w:rsid w:val="00CF355D"/>
    <w:rsid w:val="00CF3957"/>
    <w:rsid w:val="00CF4B52"/>
    <w:rsid w:val="00CF5B8A"/>
    <w:rsid w:val="00D00CE8"/>
    <w:rsid w:val="00D0440B"/>
    <w:rsid w:val="00D1075E"/>
    <w:rsid w:val="00D11EBC"/>
    <w:rsid w:val="00D162EC"/>
    <w:rsid w:val="00D16F36"/>
    <w:rsid w:val="00D24B93"/>
    <w:rsid w:val="00D27B5F"/>
    <w:rsid w:val="00D316CD"/>
    <w:rsid w:val="00D318F7"/>
    <w:rsid w:val="00D3364E"/>
    <w:rsid w:val="00D34900"/>
    <w:rsid w:val="00D43AE1"/>
    <w:rsid w:val="00D43B5D"/>
    <w:rsid w:val="00D44679"/>
    <w:rsid w:val="00D457D5"/>
    <w:rsid w:val="00D45FB2"/>
    <w:rsid w:val="00D56E6E"/>
    <w:rsid w:val="00D61A87"/>
    <w:rsid w:val="00D6210D"/>
    <w:rsid w:val="00D62E84"/>
    <w:rsid w:val="00D64F3C"/>
    <w:rsid w:val="00D66CAB"/>
    <w:rsid w:val="00D675C0"/>
    <w:rsid w:val="00D7000C"/>
    <w:rsid w:val="00D719D5"/>
    <w:rsid w:val="00D74A75"/>
    <w:rsid w:val="00D7645E"/>
    <w:rsid w:val="00D8089C"/>
    <w:rsid w:val="00D80E38"/>
    <w:rsid w:val="00D85ACB"/>
    <w:rsid w:val="00D86237"/>
    <w:rsid w:val="00D8734D"/>
    <w:rsid w:val="00D9168D"/>
    <w:rsid w:val="00D9199D"/>
    <w:rsid w:val="00D95ADE"/>
    <w:rsid w:val="00DA1558"/>
    <w:rsid w:val="00DA32AD"/>
    <w:rsid w:val="00DA774A"/>
    <w:rsid w:val="00DB2DA1"/>
    <w:rsid w:val="00DB5C36"/>
    <w:rsid w:val="00DB5C44"/>
    <w:rsid w:val="00DB74E2"/>
    <w:rsid w:val="00DC09CD"/>
    <w:rsid w:val="00DC0AB1"/>
    <w:rsid w:val="00DC1469"/>
    <w:rsid w:val="00DC254E"/>
    <w:rsid w:val="00DC30EE"/>
    <w:rsid w:val="00DC5670"/>
    <w:rsid w:val="00DD0D1C"/>
    <w:rsid w:val="00DD191F"/>
    <w:rsid w:val="00DD1AC7"/>
    <w:rsid w:val="00DD1F1B"/>
    <w:rsid w:val="00DD1F3F"/>
    <w:rsid w:val="00DD3A0E"/>
    <w:rsid w:val="00DE4643"/>
    <w:rsid w:val="00DE642E"/>
    <w:rsid w:val="00DE7935"/>
    <w:rsid w:val="00DF4309"/>
    <w:rsid w:val="00DF6703"/>
    <w:rsid w:val="00E01A25"/>
    <w:rsid w:val="00E031D6"/>
    <w:rsid w:val="00E05DD6"/>
    <w:rsid w:val="00E071D3"/>
    <w:rsid w:val="00E14121"/>
    <w:rsid w:val="00E14581"/>
    <w:rsid w:val="00E159BB"/>
    <w:rsid w:val="00E2771A"/>
    <w:rsid w:val="00E279A3"/>
    <w:rsid w:val="00E358F4"/>
    <w:rsid w:val="00E36453"/>
    <w:rsid w:val="00E43C06"/>
    <w:rsid w:val="00E43E5F"/>
    <w:rsid w:val="00E45686"/>
    <w:rsid w:val="00E46938"/>
    <w:rsid w:val="00E4723C"/>
    <w:rsid w:val="00E511EE"/>
    <w:rsid w:val="00E5404F"/>
    <w:rsid w:val="00E54068"/>
    <w:rsid w:val="00E55009"/>
    <w:rsid w:val="00E635AB"/>
    <w:rsid w:val="00E66345"/>
    <w:rsid w:val="00E708E6"/>
    <w:rsid w:val="00E800D5"/>
    <w:rsid w:val="00E818B5"/>
    <w:rsid w:val="00E81EA0"/>
    <w:rsid w:val="00E842BD"/>
    <w:rsid w:val="00EA0214"/>
    <w:rsid w:val="00EA4853"/>
    <w:rsid w:val="00EA4CDF"/>
    <w:rsid w:val="00EA6852"/>
    <w:rsid w:val="00EB1E6D"/>
    <w:rsid w:val="00EB6D94"/>
    <w:rsid w:val="00EC3F98"/>
    <w:rsid w:val="00EC5674"/>
    <w:rsid w:val="00EC60FB"/>
    <w:rsid w:val="00ED2604"/>
    <w:rsid w:val="00ED54F4"/>
    <w:rsid w:val="00EE0D2F"/>
    <w:rsid w:val="00EE17FE"/>
    <w:rsid w:val="00EE4E25"/>
    <w:rsid w:val="00EE5569"/>
    <w:rsid w:val="00EF076A"/>
    <w:rsid w:val="00EF09E1"/>
    <w:rsid w:val="00EF136A"/>
    <w:rsid w:val="00EF237F"/>
    <w:rsid w:val="00EF5634"/>
    <w:rsid w:val="00EF6532"/>
    <w:rsid w:val="00F04C67"/>
    <w:rsid w:val="00F052F3"/>
    <w:rsid w:val="00F05302"/>
    <w:rsid w:val="00F13160"/>
    <w:rsid w:val="00F15759"/>
    <w:rsid w:val="00F17A03"/>
    <w:rsid w:val="00F17F0E"/>
    <w:rsid w:val="00F21730"/>
    <w:rsid w:val="00F31972"/>
    <w:rsid w:val="00F331AD"/>
    <w:rsid w:val="00F34782"/>
    <w:rsid w:val="00F35928"/>
    <w:rsid w:val="00F359BA"/>
    <w:rsid w:val="00F410FA"/>
    <w:rsid w:val="00F4120F"/>
    <w:rsid w:val="00F4273A"/>
    <w:rsid w:val="00F43042"/>
    <w:rsid w:val="00F445A9"/>
    <w:rsid w:val="00F463E8"/>
    <w:rsid w:val="00F47802"/>
    <w:rsid w:val="00F50BAA"/>
    <w:rsid w:val="00F52A4E"/>
    <w:rsid w:val="00F55B0D"/>
    <w:rsid w:val="00F60644"/>
    <w:rsid w:val="00F615F3"/>
    <w:rsid w:val="00F618D0"/>
    <w:rsid w:val="00F61E49"/>
    <w:rsid w:val="00F67C1A"/>
    <w:rsid w:val="00F70A9F"/>
    <w:rsid w:val="00F7259D"/>
    <w:rsid w:val="00F763B8"/>
    <w:rsid w:val="00F778F1"/>
    <w:rsid w:val="00F83F4F"/>
    <w:rsid w:val="00F856B1"/>
    <w:rsid w:val="00F85A12"/>
    <w:rsid w:val="00F87C7E"/>
    <w:rsid w:val="00F91F65"/>
    <w:rsid w:val="00F943AC"/>
    <w:rsid w:val="00F96F22"/>
    <w:rsid w:val="00F97860"/>
    <w:rsid w:val="00FA066E"/>
    <w:rsid w:val="00FA26BD"/>
    <w:rsid w:val="00FA2844"/>
    <w:rsid w:val="00FA3F86"/>
    <w:rsid w:val="00FA59C2"/>
    <w:rsid w:val="00FA6AFD"/>
    <w:rsid w:val="00FB1069"/>
    <w:rsid w:val="00FB15D7"/>
    <w:rsid w:val="00FB22DA"/>
    <w:rsid w:val="00FC17EB"/>
    <w:rsid w:val="00FC30E7"/>
    <w:rsid w:val="00FC3F58"/>
    <w:rsid w:val="00FC49B2"/>
    <w:rsid w:val="00FC5C07"/>
    <w:rsid w:val="00FC71BE"/>
    <w:rsid w:val="00FD08AE"/>
    <w:rsid w:val="00FD1E67"/>
    <w:rsid w:val="00FD3AC8"/>
    <w:rsid w:val="00FD3FEA"/>
    <w:rsid w:val="00FD6A30"/>
    <w:rsid w:val="00FE0896"/>
    <w:rsid w:val="00FE1968"/>
    <w:rsid w:val="00FE1A9B"/>
    <w:rsid w:val="00FE2366"/>
    <w:rsid w:val="00FF0BDF"/>
    <w:rsid w:val="00FF2093"/>
    <w:rsid w:val="00FF6E56"/>
    <w:rsid w:val="07045729"/>
    <w:rsid w:val="365550DF"/>
    <w:rsid w:val="411C7D42"/>
    <w:rsid w:val="5EAD5422"/>
    <w:rsid w:val="65B7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qFormat/>
    <w:uiPriority w:val="1"/>
    <w:pPr>
      <w:autoSpaceDE w:val="0"/>
      <w:autoSpaceDN w:val="0"/>
      <w:jc w:val="left"/>
    </w:pPr>
    <w:rPr>
      <w:rFonts w:ascii="宋体" w:hAnsi="宋体" w:eastAsia="宋体" w:cs="宋体"/>
      <w:kern w:val="0"/>
      <w:sz w:val="29"/>
      <w:szCs w:val="29"/>
      <w:lang w:val="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批注框文本 字符"/>
    <w:basedOn w:val="9"/>
    <w:link w:val="4"/>
    <w:semiHidden/>
    <w:qFormat/>
    <w:uiPriority w:val="99"/>
    <w:rPr>
      <w:sz w:val="18"/>
      <w:szCs w:val="18"/>
    </w:rPr>
  </w:style>
  <w:style w:type="paragraph" w:customStyle="1" w:styleId="14">
    <w:name w:val="标题 11"/>
    <w:basedOn w:val="1"/>
    <w:qFormat/>
    <w:uiPriority w:val="1"/>
    <w:pPr>
      <w:autoSpaceDE w:val="0"/>
      <w:autoSpaceDN w:val="0"/>
      <w:spacing w:before="54"/>
      <w:ind w:right="118"/>
      <w:jc w:val="center"/>
      <w:outlineLvl w:val="1"/>
    </w:pPr>
    <w:rPr>
      <w:rFonts w:ascii="宋体" w:hAnsi="宋体" w:eastAsia="宋体" w:cs="宋体"/>
      <w:kern w:val="0"/>
      <w:sz w:val="36"/>
      <w:szCs w:val="36"/>
      <w:lang w:val="zh-CN" w:bidi="zh-CN"/>
    </w:rPr>
  </w:style>
  <w:style w:type="character" w:customStyle="1" w:styleId="15">
    <w:name w:val="正文文本 字符"/>
    <w:basedOn w:val="9"/>
    <w:link w:val="3"/>
    <w:uiPriority w:val="1"/>
    <w:rPr>
      <w:rFonts w:ascii="宋体" w:hAnsi="宋体" w:cs="宋体"/>
      <w:sz w:val="29"/>
      <w:szCs w:val="29"/>
      <w:lang w:val="zh-CN" w:bidi="zh-CN"/>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822AE-7A44-474C-B4EC-7D627AD6B963}">
  <ds:schemaRefs/>
</ds:datastoreItem>
</file>

<file path=docProps/app.xml><?xml version="1.0" encoding="utf-8"?>
<Properties xmlns="http://schemas.openxmlformats.org/officeDocument/2006/extended-properties" xmlns:vt="http://schemas.openxmlformats.org/officeDocument/2006/docPropsVTypes">
  <Template>Normal</Template>
  <Company>Ghost Win7 SP1电脑城装机专业版  V2014/04/17</Company>
  <Pages>7</Pages>
  <Words>4316</Words>
  <Characters>4330</Characters>
  <Lines>32</Lines>
  <Paragraphs>9</Paragraphs>
  <TotalTime>8</TotalTime>
  <ScaleCrop>false</ScaleCrop>
  <LinksUpToDate>false</LinksUpToDate>
  <CharactersWithSpaces>4453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2022-11-17T12:18:00Z</dcterms:created>
  <dc:creator>范原源</dc:creator>
  <cp:lastModifiedBy>同乐</cp:lastModifiedBy>
  <dcterms:modified xsi:type="dcterms:W3CDTF">2023-06-15T09:10:51Z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F4E76323EC45477896CA800115164D69_12</vt:lpwstr>
  </property>
</Properties>
</file>