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42B" w:rsidRDefault="0058642B" w:rsidP="0058642B">
      <w:pPr>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投资者权益须知</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尊敬的投资人：</w:t>
      </w:r>
    </w:p>
    <w:p w:rsidR="0058642B" w:rsidRDefault="0058642B" w:rsidP="0058642B">
      <w:pPr>
        <w:widowControl w:val="0"/>
        <w:autoSpaceDE w:val="0"/>
        <w:autoSpaceDN w:val="0"/>
        <w:adjustRightInd w:val="0"/>
        <w:spacing w:line="360" w:lineRule="auto"/>
        <w:ind w:firstLine="36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lang w:val="zh-CN"/>
        </w:rPr>
        <w:t>产品投资在获取收益的同时存在投资风险，</w:t>
      </w:r>
      <w:r>
        <w:rPr>
          <w:rFonts w:ascii="仿宋" w:eastAsia="仿宋" w:hAnsi="仿宋" w:cs="宋体" w:hint="eastAsia"/>
          <w:color w:val="000000" w:themeColor="text1"/>
          <w:kern w:val="2"/>
          <w:lang w:val="zh-CN"/>
        </w:rPr>
        <w:t>您在购买集合资产管理计划时，既可能按持有份额分享集合资产管理计划投资所产生的收益，也可能承担集合资产管理计划投资所带来的损失，存在着一定的投资风险。为了更好地保障您的投资权益，保护您的合法权益，请在投资集合资产管理计划前认真阅读以下内容：</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一、集合资产管理计划的基本知识</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（一）什么是集合资产管理计划</w:t>
      </w:r>
    </w:p>
    <w:p w:rsidR="0058642B" w:rsidRDefault="0058642B" w:rsidP="0058642B">
      <w:pPr>
        <w:widowControl w:val="0"/>
        <w:autoSpaceDE w:val="0"/>
        <w:autoSpaceDN w:val="0"/>
        <w:adjustRightInd w:val="0"/>
        <w:spacing w:line="360" w:lineRule="auto"/>
        <w:ind w:firstLine="360"/>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集合资产管理计划是指通过发售集合资产管理计划份额，将众多投资者的资金集中起来，形成独立财产，由集合资产管理计划托管人托管，集合资产管理计划管理人管理，是一种利益共享、风险共担的集合投资方式。</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（二）集合资产管理计划与股票、债券、储蓄存款等其它金融工具的区别</w:t>
      </w:r>
    </w:p>
    <w:tbl>
      <w:tblPr>
        <w:tblW w:w="10207" w:type="dxa"/>
        <w:tblInd w:w="-866" w:type="dxa"/>
        <w:tblLook w:val="04A0" w:firstRow="1" w:lastRow="0" w:firstColumn="1" w:lastColumn="0" w:noHBand="0" w:noVBand="1"/>
      </w:tblPr>
      <w:tblGrid>
        <w:gridCol w:w="1277"/>
        <w:gridCol w:w="3118"/>
        <w:gridCol w:w="1985"/>
        <w:gridCol w:w="1701"/>
        <w:gridCol w:w="2126"/>
      </w:tblGrid>
      <w:tr w:rsidR="0058642B" w:rsidTr="008A5F07">
        <w:trPr>
          <w:trHeight w:val="475"/>
        </w:trPr>
        <w:tc>
          <w:tcPr>
            <w:tcW w:w="1277" w:type="dxa"/>
            <w:tcBorders>
              <w:top w:val="single" w:sz="12" w:space="0" w:color="auto"/>
              <w:left w:val="single" w:sz="12"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p>
        </w:tc>
        <w:tc>
          <w:tcPr>
            <w:tcW w:w="3118"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集合资产管理计划</w:t>
            </w:r>
          </w:p>
        </w:tc>
        <w:tc>
          <w:tcPr>
            <w:tcW w:w="1985"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股票</w:t>
            </w:r>
          </w:p>
        </w:tc>
        <w:tc>
          <w:tcPr>
            <w:tcW w:w="1701"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债券</w:t>
            </w:r>
          </w:p>
        </w:tc>
        <w:tc>
          <w:tcPr>
            <w:tcW w:w="2126" w:type="dxa"/>
            <w:tcBorders>
              <w:top w:val="single" w:sz="12" w:space="0" w:color="auto"/>
              <w:left w:val="single" w:sz="6" w:space="0" w:color="auto"/>
              <w:bottom w:val="single" w:sz="6" w:space="0" w:color="auto"/>
              <w:right w:val="single" w:sz="12"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银行储蓄存款</w:t>
            </w:r>
          </w:p>
        </w:tc>
      </w:tr>
      <w:tr w:rsidR="0058642B" w:rsidTr="008A5F07">
        <w:trPr>
          <w:trHeight w:val="1690"/>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反映的经济关系不同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信托关系，是一种受益凭证，投资者购买集合资产管理计划份额后成为集合资产管理计划受益人，集合资产管理计划管理人只是替投资者管理资金，并不承担投资损失风险</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所有权关系，是一种所有权凭证，投资者购买后成为公司股东</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债权债务关系，是一种债权凭证，投资者购买后成为该公司债权人</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表现为银行的负债，是一种信用凭证，银行对存款者负有法定的保本付息责任</w:t>
            </w:r>
          </w:p>
        </w:tc>
      </w:tr>
      <w:tr w:rsidR="0058642B" w:rsidTr="008A5F07">
        <w:trPr>
          <w:trHeight w:val="827"/>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所筹资金的投向不同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集合资产管理计划按计划合同投资于约定的投资标的</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直接投资工具，主要投向实业领域</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直接投资工具，主要投向实业领域</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间接投资工具，银行负责资金用途和投向</w:t>
            </w:r>
          </w:p>
        </w:tc>
      </w:tr>
      <w:tr w:rsidR="0058642B" w:rsidTr="008A5F07">
        <w:trPr>
          <w:trHeight w:val="1698"/>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投资收益与风险大小不同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资产管理计划投资于计划合同约定的投资标的，风险随</w:t>
            </w:r>
            <w:r>
              <w:rPr>
                <w:rFonts w:ascii="仿宋" w:eastAsia="仿宋" w:hAnsi="仿宋" w:cs="Times New Roman" w:hint="eastAsia"/>
                <w:color w:val="000000" w:themeColor="text1"/>
                <w:kern w:val="2"/>
              </w:rPr>
              <w:t>投资标的不同及资产管理计划结构的不同而不同</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价格波动性大，高风险、高收益</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价格波动较股票小，低风险、低收益</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银行存款利率相对固定，损失本金的可能性很小，投资比较安全</w:t>
            </w:r>
          </w:p>
        </w:tc>
      </w:tr>
      <w:tr w:rsidR="0058642B" w:rsidTr="008A5F07">
        <w:trPr>
          <w:trHeight w:val="883"/>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收益来源</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利息收入、股利收入、资本利</w:t>
            </w:r>
            <w:proofErr w:type="gramStart"/>
            <w:r>
              <w:rPr>
                <w:rFonts w:ascii="仿宋" w:eastAsia="仿宋" w:hAnsi="仿宋" w:cs="宋体" w:hint="eastAsia"/>
                <w:color w:val="000000" w:themeColor="text1"/>
                <w:lang w:val="zh-CN"/>
              </w:rPr>
              <w:t>得及其</w:t>
            </w:r>
            <w:proofErr w:type="gramEnd"/>
            <w:r>
              <w:rPr>
                <w:rFonts w:ascii="仿宋" w:eastAsia="仿宋" w:hAnsi="仿宋" w:cs="宋体" w:hint="eastAsia"/>
                <w:color w:val="000000" w:themeColor="text1"/>
                <w:lang w:val="zh-CN"/>
              </w:rPr>
              <w:t>他收入</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股利收入、资本利得</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利息收入、资本利得</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w:t>
            </w:r>
          </w:p>
        </w:tc>
      </w:tr>
      <w:tr w:rsidR="0058642B" w:rsidTr="008A5F07">
        <w:trPr>
          <w:trHeight w:val="640"/>
        </w:trPr>
        <w:tc>
          <w:tcPr>
            <w:tcW w:w="1277" w:type="dxa"/>
            <w:tcBorders>
              <w:top w:val="single" w:sz="6" w:space="0" w:color="auto"/>
              <w:left w:val="single" w:sz="12"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投资渠道</w:t>
            </w:r>
          </w:p>
        </w:tc>
        <w:tc>
          <w:tcPr>
            <w:tcW w:w="3118"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证券公司、银行等代销机构</w:t>
            </w:r>
          </w:p>
        </w:tc>
        <w:tc>
          <w:tcPr>
            <w:tcW w:w="1985"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证券公司</w:t>
            </w:r>
          </w:p>
        </w:tc>
        <w:tc>
          <w:tcPr>
            <w:tcW w:w="1701"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债券发行机构、</w:t>
            </w:r>
            <w:r>
              <w:rPr>
                <w:rFonts w:ascii="仿宋" w:eastAsia="仿宋" w:hAnsi="仿宋" w:cs="宋体" w:hint="eastAsia"/>
                <w:color w:val="000000" w:themeColor="text1"/>
                <w:lang w:val="zh-CN"/>
              </w:rPr>
              <w:lastRenderedPageBreak/>
              <w:t>证券公司及银行等代销机构</w:t>
            </w:r>
          </w:p>
        </w:tc>
        <w:tc>
          <w:tcPr>
            <w:tcW w:w="2126" w:type="dxa"/>
            <w:tcBorders>
              <w:top w:val="single" w:sz="6" w:space="0" w:color="auto"/>
              <w:left w:val="single" w:sz="6" w:space="0" w:color="auto"/>
              <w:bottom w:val="single" w:sz="12"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lastRenderedPageBreak/>
              <w:t>银行、信用社、邮政储</w:t>
            </w:r>
            <w:r>
              <w:rPr>
                <w:rFonts w:ascii="仿宋" w:eastAsia="仿宋" w:hAnsi="仿宋" w:cs="宋体" w:hint="eastAsia"/>
                <w:color w:val="000000" w:themeColor="text1"/>
                <w:lang w:val="zh-CN"/>
              </w:rPr>
              <w:lastRenderedPageBreak/>
              <w:t>蓄银行</w:t>
            </w:r>
          </w:p>
        </w:tc>
      </w:tr>
    </w:tbl>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lastRenderedPageBreak/>
        <w:t>（三）集合资产管理计划费用</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集合资产管理计划费用一般包括两大类：一类是在集合资产管理计划销售过程中发生的由集合资产管理计划投资人自己承担的费用，主要包括认购费、申购费、赎回费、产品业绩报酬和集合资产管理计划转换费。这些费用一般直接在投资人认购、申购、赎回或转换时收取。另一类是在集合资产管理计划管理过程中发生的费用，主要包括集合资产管理计划管理费、集合资产管理计划托管费、产品审计费等，这些费用由集合资产管理计划承担。</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集合资产管理计划费用应按产品合同约定收取。</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二、风险提示</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（一）投资风险提示</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1、集合资产管理计划是</w:t>
      </w:r>
      <w:r>
        <w:rPr>
          <w:rFonts w:ascii="仿宋" w:eastAsia="仿宋" w:hAnsi="仿宋" w:cs="Times New Roman" w:hint="eastAsia"/>
          <w:color w:val="000000" w:themeColor="text1"/>
          <w:kern w:val="2"/>
        </w:rPr>
        <w:t>照《产品合同》的约定进行投资活动，风险收益特征按不同的投资标的及资产管理计划的不同结构而不同。</w:t>
      </w:r>
      <w:r>
        <w:rPr>
          <w:rFonts w:ascii="仿宋" w:eastAsia="仿宋" w:hAnsi="仿宋" w:cs="宋体" w:hint="eastAsia"/>
          <w:color w:val="000000" w:themeColor="text1"/>
          <w:kern w:val="2"/>
          <w:lang w:val="zh-CN"/>
        </w:rPr>
        <w:t>投资人购买集合资产管理计划，既可能按其持有份额分享集合资产管理计划投资所产生的收益，也可能承担集合资产管理计划所带来的损失。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b/>
          <w:bCs/>
          <w:color w:val="000000" w:themeColor="text1"/>
          <w:kern w:val="2"/>
          <w:lang w:val="zh-CN"/>
        </w:rPr>
      </w:pPr>
      <w:r>
        <w:rPr>
          <w:rFonts w:ascii="仿宋" w:eastAsia="仿宋" w:hAnsi="仿宋" w:cs="宋体"/>
          <w:color w:val="000000" w:themeColor="text1"/>
          <w:kern w:val="2"/>
          <w:lang w:val="zh-CN"/>
        </w:rPr>
        <w:t>2、集合资产管理计划在投资运作过程中可能面临各种风险，既包括信用风险、市场风险、流动性风险，也包括集合资产管理计划自身的管理风险、技术风险和合</w:t>
      </w:r>
      <w:proofErr w:type="gramStart"/>
      <w:r>
        <w:rPr>
          <w:rFonts w:ascii="仿宋" w:eastAsia="仿宋" w:hAnsi="仿宋" w:cs="宋体" w:hint="eastAsia"/>
          <w:color w:val="000000" w:themeColor="text1"/>
          <w:kern w:val="2"/>
          <w:lang w:val="zh-CN"/>
        </w:rPr>
        <w:t>规</w:t>
      </w:r>
      <w:proofErr w:type="gramEnd"/>
      <w:r>
        <w:rPr>
          <w:rFonts w:ascii="仿宋" w:eastAsia="仿宋" w:hAnsi="仿宋" w:cs="宋体" w:hint="eastAsia"/>
          <w:color w:val="000000" w:themeColor="text1"/>
          <w:kern w:val="2"/>
          <w:lang w:val="zh-CN"/>
        </w:rPr>
        <w:t>风险等。</w:t>
      </w:r>
      <w:r>
        <w:rPr>
          <w:rFonts w:ascii="仿宋" w:eastAsia="仿宋" w:hAnsi="仿宋" w:cs="宋体" w:hint="eastAsia"/>
          <w:b/>
          <w:bCs/>
          <w:color w:val="000000" w:themeColor="text1"/>
          <w:kern w:val="2"/>
          <w:lang w:val="zh-CN"/>
        </w:rPr>
        <w:t>请您在购买集合资产管理计划前仔细阅读</w:t>
      </w:r>
      <w:r>
        <w:rPr>
          <w:rFonts w:ascii="仿宋" w:eastAsia="仿宋" w:hAnsi="仿宋" w:cs="Times New Roman" w:hint="eastAsia"/>
          <w:b/>
          <w:bCs/>
          <w:color w:val="000000" w:themeColor="text1"/>
          <w:kern w:val="2"/>
        </w:rPr>
        <w:t>《产品合同》（</w:t>
      </w:r>
      <w:proofErr w:type="gramStart"/>
      <w:r>
        <w:rPr>
          <w:rFonts w:ascii="仿宋" w:eastAsia="仿宋" w:hAnsi="仿宋" w:cs="Times New Roman" w:hint="eastAsia"/>
          <w:b/>
          <w:bCs/>
          <w:color w:val="000000" w:themeColor="text1"/>
          <w:kern w:val="2"/>
        </w:rPr>
        <w:t>含风险</w:t>
      </w:r>
      <w:proofErr w:type="gramEnd"/>
      <w:r>
        <w:rPr>
          <w:rFonts w:ascii="仿宋" w:eastAsia="仿宋" w:hAnsi="仿宋" w:cs="Times New Roman" w:hint="eastAsia"/>
          <w:b/>
          <w:bCs/>
          <w:color w:val="000000" w:themeColor="text1"/>
          <w:kern w:val="2"/>
        </w:rPr>
        <w:t>揭示书）</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（二）传真、电子邮件等交易方式特有风险提示：</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1、</w:t>
      </w:r>
      <w:r>
        <w:rPr>
          <w:rFonts w:ascii="仿宋" w:eastAsia="仿宋" w:hAnsi="仿宋" w:cs="宋体" w:hint="eastAsia"/>
          <w:color w:val="000000" w:themeColor="text1"/>
          <w:kern w:val="2"/>
          <w:lang w:val="zh-CN"/>
        </w:rPr>
        <w:t>互联网是全球公共网络，并不受任何一个机构所控制。数据在互联网上传输的途径不是完全确定的，可能会受到非法干扰或侵入。在互联网上传输的数据有可能被某些未经许可的个人、团体或机构通过某种渠道获得或篡改。</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2、</w:t>
      </w:r>
      <w:r>
        <w:rPr>
          <w:rFonts w:ascii="仿宋" w:eastAsia="仿宋" w:hAnsi="仿宋" w:cs="宋体" w:hint="eastAsia"/>
          <w:color w:val="000000" w:themeColor="text1"/>
          <w:kern w:val="2"/>
          <w:lang w:val="zh-CN"/>
        </w:rPr>
        <w:t>传真网络及互联网上的数据传输可能因通信繁忙出现延迟，或因其他原因出现中断、停顿或数据不完全、数据错误等情况，从而使交易出现错误、延迟、中断或停顿。</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3、因地震、火灾、台风及其他各种不可抗力因素引起的停电、网络系统故障、电脑故障等原因可能造成投资者的经济损失。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4、互联网上发布的各种信息（包括但不限于分析、预测性的参考资料）可能出现错误并误导投资者。</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5</w:t>
      </w:r>
      <w:r>
        <w:rPr>
          <w:rFonts w:ascii="仿宋" w:eastAsia="仿宋" w:hAnsi="仿宋" w:cs="宋体" w:hint="eastAsia"/>
          <w:color w:val="000000" w:themeColor="text1"/>
          <w:kern w:val="2"/>
          <w:lang w:val="zh-CN"/>
        </w:rPr>
        <w:t>、投资者的交易身份可能会被泄露、仿冒或因投资者自身疏忽造成账号或密码泄露，可能给投资者造成损失。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lastRenderedPageBreak/>
        <w:t>6、投资者使用的计算机等设备可能因存在性能缺陷、质量问题、计算机病毒、硬件故障及其他原因，而对投资者的交易登陆、交易时间或交易数据产生影响，给投资者造成损失。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7</w:t>
      </w:r>
      <w:r>
        <w:rPr>
          <w:rFonts w:ascii="仿宋" w:eastAsia="仿宋" w:hAnsi="仿宋" w:cs="宋体" w:hint="eastAsia"/>
          <w:color w:val="000000" w:themeColor="text1"/>
          <w:kern w:val="2"/>
          <w:lang w:val="zh-CN"/>
        </w:rPr>
        <w:t>、传真、电子邮件等交易方式发送成功后，并不表示对本申请予以确认，可能因为集合资产管理计划合同约定的认购、申购确认原则或其他原因，导致未能成功参与。投资者交易最终结果以集合资产管理计划注册登记为准。</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8、其他可能导致投资者损失的风险或事项。</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上述风险所导致的损失或责任，均应由投资者自行承担，本公司对此不承担任何责任。投资者申请使用上述方式开展交易业务前，应认真阅读有关交易的协议，了解交易的固有风险。请投资者慎重选择并妥善保管交易信息，特别是基金账号、账户密码、证书等身份数据。</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三、交易业务</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（一）代销机构</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投资人在代销机构办理集合资产管理业务，详情请咨询相关代销机构网点，具体代销机构名单请点击我公司网站查询。</w:t>
      </w:r>
    </w:p>
    <w:p w:rsidR="0058642B" w:rsidRDefault="0058642B" w:rsidP="0058642B">
      <w:pPr>
        <w:pStyle w:val="a9"/>
        <w:keepNext/>
        <w:keepLines/>
        <w:widowControl w:val="0"/>
        <w:numPr>
          <w:ilvl w:val="0"/>
          <w:numId w:val="1"/>
        </w:numPr>
        <w:autoSpaceDE w:val="0"/>
        <w:autoSpaceDN w:val="0"/>
        <w:adjustRightInd w:val="0"/>
        <w:spacing w:line="360" w:lineRule="auto"/>
        <w:contextualSpacing w:val="0"/>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注意事项</w:t>
      </w:r>
    </w:p>
    <w:p w:rsidR="0058642B" w:rsidRDefault="0058642B" w:rsidP="0058642B">
      <w:pPr>
        <w:pStyle w:val="a9"/>
        <w:widowControl w:val="0"/>
        <w:numPr>
          <w:ilvl w:val="0"/>
          <w:numId w:val="2"/>
        </w:numPr>
        <w:autoSpaceDE w:val="0"/>
        <w:autoSpaceDN w:val="0"/>
        <w:adjustRightInd w:val="0"/>
        <w:spacing w:line="360" w:lineRule="auto"/>
        <w:ind w:right="332"/>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投资者可于</w:t>
      </w:r>
      <w:r>
        <w:rPr>
          <w:rFonts w:ascii="仿宋" w:eastAsia="仿宋" w:hAnsi="仿宋" w:cs="宋体"/>
          <w:color w:val="000000" w:themeColor="text1"/>
          <w:kern w:val="2"/>
          <w:lang w:val="zh-CN"/>
        </w:rPr>
        <w:t>T</w:t>
      </w:r>
      <w:r>
        <w:rPr>
          <w:rFonts w:ascii="仿宋" w:eastAsia="仿宋" w:hAnsi="仿宋" w:cs="宋体" w:hint="eastAsia"/>
          <w:color w:val="000000" w:themeColor="text1"/>
          <w:kern w:val="2"/>
          <w:lang w:val="zh-CN"/>
        </w:rPr>
        <w:t>＋</w:t>
      </w:r>
      <w:r>
        <w:rPr>
          <w:rFonts w:ascii="仿宋" w:eastAsia="仿宋" w:hAnsi="仿宋" w:cs="宋体"/>
          <w:color w:val="000000" w:themeColor="text1"/>
          <w:kern w:val="2"/>
          <w:lang w:val="zh-CN"/>
        </w:rPr>
        <w:t>2</w:t>
      </w:r>
      <w:r>
        <w:rPr>
          <w:rFonts w:ascii="仿宋" w:eastAsia="仿宋" w:hAnsi="仿宋" w:cs="宋体" w:hint="eastAsia"/>
          <w:color w:val="000000" w:themeColor="text1"/>
          <w:kern w:val="2"/>
          <w:lang w:val="zh-CN"/>
        </w:rPr>
        <w:t>日通过客服电话、网站或本公司直销中心查询开户是否成功；</w:t>
      </w:r>
    </w:p>
    <w:p w:rsidR="0058642B" w:rsidRDefault="0058642B" w:rsidP="0058642B">
      <w:pPr>
        <w:pStyle w:val="a9"/>
        <w:widowControl w:val="0"/>
        <w:numPr>
          <w:ilvl w:val="0"/>
          <w:numId w:val="2"/>
        </w:numPr>
        <w:autoSpaceDE w:val="0"/>
        <w:autoSpaceDN w:val="0"/>
        <w:adjustRightInd w:val="0"/>
        <w:spacing w:line="360" w:lineRule="auto"/>
        <w:ind w:right="332"/>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投资者的集合资产管理计划账号、交易账号及投资者类型不能变更；</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“指定银行账户”是指：在本公司直销中心认购、申购集合资产管理计划的投资者需指定</w:t>
      </w:r>
      <w:proofErr w:type="gramStart"/>
      <w:r>
        <w:rPr>
          <w:rFonts w:ascii="仿宋" w:eastAsia="仿宋" w:hAnsi="仿宋" w:cs="宋体" w:hint="eastAsia"/>
          <w:color w:val="000000" w:themeColor="text1"/>
          <w:kern w:val="2"/>
          <w:lang w:val="zh-CN"/>
        </w:rPr>
        <w:t>一</w:t>
      </w:r>
      <w:proofErr w:type="gramEnd"/>
      <w:r>
        <w:rPr>
          <w:rFonts w:ascii="仿宋" w:eastAsia="仿宋" w:hAnsi="仿宋" w:cs="宋体" w:hint="eastAsia"/>
          <w:color w:val="000000" w:themeColor="text1"/>
          <w:kern w:val="2"/>
          <w:lang w:val="zh-CN"/>
        </w:rPr>
        <w:t>银行账户作为投资者赎回、分红等资金结算账户。此账户可为投资者在任一商业银行的存款账户，账户名称必须与投资者名称严格一致，机构投资者账户以其提供的银行《开户许可证》或基本存款账户证明或《开立银行账户申请表》资料为准；</w:t>
      </w:r>
    </w:p>
    <w:p w:rsidR="0058642B" w:rsidRDefault="0058642B" w:rsidP="0058642B">
      <w:pPr>
        <w:pStyle w:val="a9"/>
        <w:widowControl w:val="0"/>
        <w:numPr>
          <w:ilvl w:val="0"/>
          <w:numId w:val="2"/>
        </w:numPr>
        <w:autoSpaceDE w:val="0"/>
        <w:autoSpaceDN w:val="0"/>
        <w:adjustRightInd w:val="0"/>
        <w:spacing w:line="360" w:lineRule="auto"/>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申请集合资产管理计划账户销户时，集合资产管理计划账户内应无集合资产管理</w:t>
      </w:r>
      <w:proofErr w:type="gramStart"/>
      <w:r>
        <w:rPr>
          <w:rFonts w:ascii="仿宋" w:eastAsia="仿宋" w:hAnsi="仿宋" w:cs="宋体" w:hint="eastAsia"/>
          <w:color w:val="000000" w:themeColor="text1"/>
          <w:kern w:val="2"/>
          <w:lang w:val="zh-CN"/>
        </w:rPr>
        <w:t>计划余额</w:t>
      </w:r>
      <w:proofErr w:type="gramEnd"/>
      <w:r>
        <w:rPr>
          <w:rFonts w:ascii="仿宋" w:eastAsia="仿宋" w:hAnsi="仿宋" w:cs="宋体" w:hint="eastAsia"/>
          <w:color w:val="000000" w:themeColor="text1"/>
          <w:kern w:val="2"/>
          <w:lang w:val="zh-CN"/>
        </w:rPr>
        <w:t>和在途权益；</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投资者资料变更申请一经确认，所有交易均以新的资料信息为依据；</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投资人应保证提供的资料和填列的信息真实、准确和有效；</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本公司直销中心受理业务申请，并不表示对本申请予以确认，最终结果以集合资产管理计划注册登记为准。</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四、投诉处理</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投资人如果对我公司销售服务、网站、代销渠道、服务质量等方面有不满意的地方，或者由</w:t>
      </w:r>
      <w:r>
        <w:rPr>
          <w:rFonts w:ascii="仿宋" w:eastAsia="仿宋" w:hAnsi="仿宋" w:cs="宋体" w:hint="eastAsia"/>
          <w:color w:val="000000" w:themeColor="text1"/>
          <w:kern w:val="2"/>
          <w:lang w:val="zh-CN"/>
        </w:rPr>
        <w:lastRenderedPageBreak/>
        <w:t>于其他因素造成的不满意，而通过其他渠道无法解决或没有及时解决时，可以通过公司客服电话、网站、电子邮箱、留言、信件来函等方式进行投诉，我公司客户服务中心负责接待和受理，并跟踪处理过程与结果回复。</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投诉电话：</w:t>
      </w:r>
      <w:r>
        <w:rPr>
          <w:rFonts w:ascii="仿宋" w:eastAsia="仿宋" w:hAnsi="仿宋" w:cs="宋体"/>
          <w:color w:val="000000" w:themeColor="text1"/>
          <w:lang w:val="zh-CN"/>
        </w:rPr>
        <w:t>95582</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投诉通信地址：公司及各营业网点</w:t>
      </w:r>
      <w:r>
        <w:rPr>
          <w:rFonts w:ascii="仿宋" w:eastAsia="仿宋" w:hAnsi="仿宋" w:cs="宋体"/>
          <w:color w:val="000000" w:themeColor="text1"/>
          <w:lang w:val="zh-CN"/>
        </w:rPr>
        <w:t xml:space="preserve"> </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投诉邮箱地址：</w:t>
      </w:r>
      <w:r>
        <w:rPr>
          <w:rFonts w:ascii="仿宋" w:eastAsia="仿宋" w:hAnsi="仿宋" w:cs="宋体"/>
          <w:color w:val="000000" w:themeColor="text1"/>
          <w:lang w:val="zh-CN"/>
        </w:rPr>
        <w:t>95582@xbmail.com.cn</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在投资集合资产管理计划前应认真阅读《集合资产管理计划合同》、《产品说明书》等集合资产管理计划法律文件，选择与自身风险承受能力相适应的集合资产管理计划。我公司承诺投资人利益优先，以诚实信用、勤勉尽责的态度为投资人提供服务，但不能保证集合资产管理计划一定盈利，也不能保证集合资产管理计划的最低收益。投资人可登录中国证监会网站（</w:t>
      </w:r>
      <w:r>
        <w:rPr>
          <w:rFonts w:ascii="仿宋" w:eastAsia="仿宋" w:hAnsi="仿宋" w:cs="宋体"/>
          <w:color w:val="000000" w:themeColor="text1"/>
          <w:kern w:val="2"/>
          <w:lang w:val="zh-CN"/>
        </w:rPr>
        <w:t>www.csrc.gov.cn</w:t>
      </w:r>
      <w:r>
        <w:rPr>
          <w:rFonts w:ascii="仿宋" w:eastAsia="仿宋" w:hAnsi="仿宋" w:cs="宋体" w:hint="eastAsia"/>
          <w:color w:val="000000" w:themeColor="text1"/>
          <w:kern w:val="2"/>
          <w:lang w:val="zh-CN"/>
        </w:rPr>
        <w:t>）或中国证券业协会网站（</w:t>
      </w:r>
      <w:r>
        <w:rPr>
          <w:rFonts w:ascii="仿宋" w:eastAsia="仿宋" w:hAnsi="仿宋" w:cs="宋体"/>
          <w:color w:val="000000" w:themeColor="text1"/>
          <w:kern w:val="2"/>
          <w:lang w:val="zh-CN"/>
        </w:rPr>
        <w:t>www.sac.net.cn</w:t>
      </w:r>
      <w:r>
        <w:rPr>
          <w:rFonts w:ascii="仿宋" w:eastAsia="仿宋" w:hAnsi="仿宋" w:cs="宋体" w:hint="eastAsia"/>
          <w:color w:val="000000" w:themeColor="text1"/>
          <w:kern w:val="2"/>
          <w:lang w:val="zh-CN"/>
        </w:rPr>
        <w:t>）或中国基金业协会网站（https://www.amac.org.cn/）核实我公司公示信息。</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如客户已阅读并知悉以上内容，请在下方横线处签字：</w:t>
      </w:r>
    </w:p>
    <w:p w:rsidR="0058642B" w:rsidRDefault="0058642B" w:rsidP="0058642B">
      <w:pPr>
        <w:widowControl w:val="0"/>
        <w:autoSpaceDE w:val="0"/>
        <w:autoSpaceDN w:val="0"/>
        <w:adjustRightInd w:val="0"/>
        <w:spacing w:line="360" w:lineRule="auto"/>
        <w:jc w:val="both"/>
        <w:rPr>
          <w:rFonts w:ascii="仿宋" w:eastAsia="仿宋" w:hAnsi="仿宋" w:cs="宋体" w:hint="eastAsia"/>
          <w:b/>
          <w:bCs/>
          <w:color w:val="000000" w:themeColor="text1"/>
          <w:kern w:val="2"/>
          <w:lang w:val="zh-CN"/>
        </w:rPr>
      </w:pPr>
      <w:r>
        <w:rPr>
          <w:rFonts w:ascii="仿宋" w:eastAsia="仿宋" w:hAnsi="仿宋" w:cs="宋体" w:hint="eastAsia"/>
          <w:b/>
          <w:bCs/>
          <w:color w:val="000000" w:themeColor="text1"/>
          <w:kern w:val="2"/>
          <w:lang w:val="zh-CN"/>
        </w:rPr>
        <w:t>本人（机构）已知悉上述情况，并已了解投资集合资产管理计划产品的相关风险。</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个人客户签名：</w:t>
      </w:r>
      <w:r>
        <w:rPr>
          <w:rFonts w:ascii="仿宋" w:eastAsia="仿宋" w:hAnsi="仿宋" w:cs="宋体"/>
          <w:color w:val="000000" w:themeColor="text1"/>
          <w:kern w:val="2"/>
          <w:lang w:val="zh-CN"/>
        </w:rPr>
        <w:t>____________________</w:t>
      </w:r>
    </w:p>
    <w:p w:rsidR="0058642B" w:rsidRDefault="0058642B" w:rsidP="0058642B">
      <w:pPr>
        <w:widowControl w:val="0"/>
        <w:autoSpaceDE w:val="0"/>
        <w:autoSpaceDN w:val="0"/>
        <w:adjustRightInd w:val="0"/>
        <w:spacing w:line="360" w:lineRule="auto"/>
        <w:jc w:val="both"/>
        <w:rPr>
          <w:rFonts w:ascii="仿宋" w:eastAsia="仿宋" w:hAnsi="仿宋" w:cs="Times New Roman" w:hint="eastAsia"/>
          <w:color w:val="000000" w:themeColor="text1"/>
          <w:kern w:val="2"/>
        </w:rPr>
      </w:pPr>
      <w:r>
        <w:rPr>
          <w:rFonts w:ascii="仿宋" w:eastAsia="仿宋" w:hAnsi="仿宋" w:cs="宋体" w:hint="eastAsia"/>
          <w:color w:val="000000" w:themeColor="text1"/>
          <w:kern w:val="2"/>
          <w:lang w:val="zh-CN"/>
        </w:rPr>
        <w:t>机构客户加盖预留印鉴：</w:t>
      </w:r>
      <w:r>
        <w:rPr>
          <w:rFonts w:ascii="仿宋" w:eastAsia="仿宋" w:hAnsi="仿宋" w:cs="宋体"/>
          <w:color w:val="000000" w:themeColor="text1"/>
          <w:kern w:val="2"/>
          <w:lang w:val="zh-CN"/>
        </w:rPr>
        <w:t>_________________________________</w:t>
      </w:r>
    </w:p>
    <w:p w:rsidR="0058642B" w:rsidRDefault="0058642B" w:rsidP="0058642B">
      <w:pPr>
        <w:widowControl w:val="0"/>
        <w:autoSpaceDE w:val="0"/>
        <w:autoSpaceDN w:val="0"/>
        <w:adjustRightInd w:val="0"/>
        <w:spacing w:line="360" w:lineRule="auto"/>
        <w:jc w:val="right"/>
        <w:rPr>
          <w:rFonts w:ascii="仿宋" w:eastAsia="仿宋" w:hAnsi="仿宋" w:cs="宋体" w:hint="eastAsia"/>
          <w:color w:val="000000" w:themeColor="text1"/>
          <w:kern w:val="2"/>
          <w:lang w:val="zh-CN"/>
        </w:rPr>
      </w:pPr>
    </w:p>
    <w:p w:rsidR="0058642B" w:rsidRDefault="0058642B" w:rsidP="0058642B">
      <w:pPr>
        <w:widowControl w:val="0"/>
        <w:wordWrap w:val="0"/>
        <w:autoSpaceDE w:val="0"/>
        <w:autoSpaceDN w:val="0"/>
        <w:adjustRightInd w:val="0"/>
        <w:spacing w:line="360" w:lineRule="auto"/>
        <w:jc w:val="right"/>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_____</w:t>
      </w:r>
      <w:r>
        <w:rPr>
          <w:rFonts w:ascii="仿宋" w:eastAsia="仿宋" w:hAnsi="仿宋" w:cs="宋体"/>
          <w:color w:val="000000" w:themeColor="text1"/>
          <w:kern w:val="2"/>
          <w:u w:val="single"/>
          <w:lang w:val="zh-CN"/>
        </w:rPr>
        <w:t xml:space="preserve"> </w:t>
      </w:r>
      <w:r>
        <w:rPr>
          <w:rFonts w:ascii="仿宋" w:eastAsia="仿宋" w:hAnsi="仿宋" w:cs="宋体"/>
          <w:color w:val="000000" w:themeColor="text1"/>
          <w:kern w:val="2"/>
          <w:lang w:val="zh-CN"/>
        </w:rPr>
        <w:t>__</w:t>
      </w:r>
      <w:r>
        <w:rPr>
          <w:rFonts w:ascii="仿宋" w:eastAsia="仿宋" w:hAnsi="仿宋" w:cs="宋体" w:hint="eastAsia"/>
          <w:color w:val="000000" w:themeColor="text1"/>
          <w:kern w:val="2"/>
          <w:lang w:val="zh-CN"/>
        </w:rPr>
        <w:t>年</w:t>
      </w:r>
      <w:r>
        <w:rPr>
          <w:rFonts w:ascii="仿宋" w:eastAsia="仿宋" w:hAnsi="仿宋" w:cs="宋体"/>
          <w:color w:val="000000" w:themeColor="text1"/>
          <w:kern w:val="2"/>
          <w:lang w:val="zh-CN"/>
        </w:rPr>
        <w:t>_______</w:t>
      </w:r>
      <w:r>
        <w:rPr>
          <w:rFonts w:ascii="仿宋" w:eastAsia="仿宋" w:hAnsi="仿宋" w:cs="宋体" w:hint="eastAsia"/>
          <w:color w:val="000000" w:themeColor="text1"/>
          <w:kern w:val="2"/>
          <w:lang w:val="zh-CN"/>
        </w:rPr>
        <w:t>月</w:t>
      </w:r>
      <w:r>
        <w:rPr>
          <w:rFonts w:ascii="仿宋" w:eastAsia="仿宋" w:hAnsi="仿宋" w:cs="宋体"/>
          <w:color w:val="000000" w:themeColor="text1"/>
          <w:kern w:val="2"/>
          <w:lang w:val="zh-CN"/>
        </w:rPr>
        <w:t>_______</w:t>
      </w:r>
      <w:r>
        <w:rPr>
          <w:rFonts w:ascii="仿宋" w:eastAsia="仿宋" w:hAnsi="仿宋" w:cs="宋体" w:hint="eastAsia"/>
          <w:color w:val="000000" w:themeColor="text1"/>
          <w:kern w:val="2"/>
          <w:lang w:val="zh-CN"/>
        </w:rPr>
        <w:t>日</w:t>
      </w: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F27077" w:rsidRDefault="00F27077"/>
    <w:sectPr w:rsidR="00F27077" w:rsidSect="00F53455">
      <w:headerReference w:type="default" r:id="rId7"/>
      <w:footerReference w:type="default" r:id="rId8"/>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258" w:rsidRDefault="00A44258" w:rsidP="008A5F07">
      <w:r>
        <w:separator/>
      </w:r>
    </w:p>
  </w:endnote>
  <w:endnote w:type="continuationSeparator" w:id="0">
    <w:p w:rsidR="00A44258" w:rsidRDefault="00A44258" w:rsidP="008A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F07" w:rsidRDefault="008A5F07" w:rsidP="008A5F07">
    <w:pPr>
      <w:pStyle w:val="af0"/>
      <w:rPr>
        <w:rFonts w:ascii="宋体" w:eastAsia="宋体" w:hAnsi="宋体" w:hint="eastAsia"/>
      </w:rPr>
    </w:pPr>
  </w:p>
  <w:p w:rsidR="008A5F07" w:rsidRDefault="008A5F07" w:rsidP="008A5F07">
    <w:pPr>
      <w:pStyle w:val="af0"/>
      <w:rPr>
        <w:rFonts w:ascii="宋体" w:eastAsia="宋体" w:hAnsi="宋体" w:hint="eastAsia"/>
      </w:rPr>
    </w:pPr>
  </w:p>
  <w:p w:rsidR="008A5F07" w:rsidRPr="001D38F4" w:rsidRDefault="008A5F07" w:rsidP="008A5F07">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8A5F07" w:rsidRPr="001D38F4" w:rsidRDefault="008A5F07" w:rsidP="008A5F07">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8A5F07" w:rsidRPr="00F53455" w:rsidRDefault="008A5F07">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258" w:rsidRDefault="00A44258" w:rsidP="008A5F07">
      <w:r>
        <w:separator/>
      </w:r>
    </w:p>
  </w:footnote>
  <w:footnote w:type="continuationSeparator" w:id="0">
    <w:p w:rsidR="00A44258" w:rsidRDefault="00A44258" w:rsidP="008A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F07" w:rsidRPr="004B72AF" w:rsidRDefault="008A5F07" w:rsidP="008A5F07">
    <w:pPr>
      <w:pStyle w:val="ae"/>
      <w:pBdr>
        <w:bottom w:val="single" w:sz="6" w:space="0" w:color="auto"/>
      </w:pBdr>
      <w:jc w:val="left"/>
      <w:rPr>
        <w:rFonts w:ascii="仿宋" w:eastAsia="仿宋" w:hAnsi="仿宋" w:hint="eastAsia"/>
      </w:rPr>
    </w:pPr>
    <w:r>
      <w:rPr>
        <w:rFonts w:hint="eastAsia"/>
        <w:noProof/>
      </w:rPr>
      <w:drawing>
        <wp:inline distT="0" distB="0" distL="0" distR="0" wp14:anchorId="44649453" wp14:editId="619B06B9">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8A5F07" w:rsidRDefault="008A5F07" w:rsidP="008A5F07">
    <w:pPr>
      <w:pStyle w:val="a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A"/>
    <w:multiLevelType w:val="multilevel"/>
    <w:tmpl w:val="3F34014A"/>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BFA2D86"/>
    <w:multiLevelType w:val="multilevel"/>
    <w:tmpl w:val="6BFA2D8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7762">
    <w:abstractNumId w:val="0"/>
  </w:num>
  <w:num w:numId="2" w16cid:durableId="204933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2B"/>
    <w:rsid w:val="003737BE"/>
    <w:rsid w:val="0058642B"/>
    <w:rsid w:val="00842435"/>
    <w:rsid w:val="008A5F07"/>
    <w:rsid w:val="00A431F9"/>
    <w:rsid w:val="00A44258"/>
    <w:rsid w:val="00F27077"/>
    <w:rsid w:val="00F5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D4F0B"/>
  <w15:chartTrackingRefBased/>
  <w15:docId w15:val="{064CBC08-EF93-49E7-AED9-DEA50DB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42B"/>
    <w:rPr>
      <w:rFonts w:ascii="Calibri" w:eastAsia="等线" w:hAnsi="Calibri" w:cs="Arial"/>
      <w:kern w:val="0"/>
      <w:sz w:val="20"/>
      <w:szCs w:val="20"/>
    </w:rPr>
  </w:style>
  <w:style w:type="paragraph" w:styleId="1">
    <w:name w:val="heading 1"/>
    <w:basedOn w:val="a"/>
    <w:next w:val="a"/>
    <w:link w:val="10"/>
    <w:uiPriority w:val="9"/>
    <w:qFormat/>
    <w:rsid w:val="005864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864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64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8642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8642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8642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8642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42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8642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4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864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64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642B"/>
    <w:rPr>
      <w:rFonts w:cstheme="majorBidi"/>
      <w:color w:val="0F4761" w:themeColor="accent1" w:themeShade="BF"/>
      <w:sz w:val="28"/>
      <w:szCs w:val="28"/>
    </w:rPr>
  </w:style>
  <w:style w:type="character" w:customStyle="1" w:styleId="50">
    <w:name w:val="标题 5 字符"/>
    <w:basedOn w:val="a0"/>
    <w:link w:val="5"/>
    <w:uiPriority w:val="9"/>
    <w:semiHidden/>
    <w:rsid w:val="0058642B"/>
    <w:rPr>
      <w:rFonts w:cstheme="majorBidi"/>
      <w:color w:val="0F4761" w:themeColor="accent1" w:themeShade="BF"/>
      <w:sz w:val="24"/>
      <w:szCs w:val="24"/>
    </w:rPr>
  </w:style>
  <w:style w:type="character" w:customStyle="1" w:styleId="60">
    <w:name w:val="标题 6 字符"/>
    <w:basedOn w:val="a0"/>
    <w:link w:val="6"/>
    <w:uiPriority w:val="9"/>
    <w:semiHidden/>
    <w:rsid w:val="0058642B"/>
    <w:rPr>
      <w:rFonts w:cstheme="majorBidi"/>
      <w:b/>
      <w:bCs/>
      <w:color w:val="0F4761" w:themeColor="accent1" w:themeShade="BF"/>
    </w:rPr>
  </w:style>
  <w:style w:type="character" w:customStyle="1" w:styleId="70">
    <w:name w:val="标题 7 字符"/>
    <w:basedOn w:val="a0"/>
    <w:link w:val="7"/>
    <w:uiPriority w:val="9"/>
    <w:semiHidden/>
    <w:rsid w:val="0058642B"/>
    <w:rPr>
      <w:rFonts w:cstheme="majorBidi"/>
      <w:b/>
      <w:bCs/>
      <w:color w:val="595959" w:themeColor="text1" w:themeTint="A6"/>
    </w:rPr>
  </w:style>
  <w:style w:type="character" w:customStyle="1" w:styleId="80">
    <w:name w:val="标题 8 字符"/>
    <w:basedOn w:val="a0"/>
    <w:link w:val="8"/>
    <w:uiPriority w:val="9"/>
    <w:semiHidden/>
    <w:rsid w:val="0058642B"/>
    <w:rPr>
      <w:rFonts w:cstheme="majorBidi"/>
      <w:color w:val="595959" w:themeColor="text1" w:themeTint="A6"/>
    </w:rPr>
  </w:style>
  <w:style w:type="character" w:customStyle="1" w:styleId="90">
    <w:name w:val="标题 9 字符"/>
    <w:basedOn w:val="a0"/>
    <w:link w:val="9"/>
    <w:uiPriority w:val="9"/>
    <w:semiHidden/>
    <w:rsid w:val="0058642B"/>
    <w:rPr>
      <w:rFonts w:eastAsiaTheme="majorEastAsia" w:cstheme="majorBidi"/>
      <w:color w:val="595959" w:themeColor="text1" w:themeTint="A6"/>
    </w:rPr>
  </w:style>
  <w:style w:type="paragraph" w:styleId="a3">
    <w:name w:val="Title"/>
    <w:basedOn w:val="a"/>
    <w:next w:val="a"/>
    <w:link w:val="a4"/>
    <w:uiPriority w:val="10"/>
    <w:qFormat/>
    <w:rsid w:val="005864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4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42B"/>
    <w:pPr>
      <w:spacing w:before="160" w:after="160"/>
      <w:jc w:val="center"/>
    </w:pPr>
    <w:rPr>
      <w:i/>
      <w:iCs/>
      <w:color w:val="404040" w:themeColor="text1" w:themeTint="BF"/>
    </w:rPr>
  </w:style>
  <w:style w:type="character" w:customStyle="1" w:styleId="a8">
    <w:name w:val="引用 字符"/>
    <w:basedOn w:val="a0"/>
    <w:link w:val="a7"/>
    <w:uiPriority w:val="29"/>
    <w:rsid w:val="0058642B"/>
    <w:rPr>
      <w:i/>
      <w:iCs/>
      <w:color w:val="404040" w:themeColor="text1" w:themeTint="BF"/>
    </w:rPr>
  </w:style>
  <w:style w:type="paragraph" w:styleId="a9">
    <w:name w:val="List Paragraph"/>
    <w:basedOn w:val="a"/>
    <w:uiPriority w:val="34"/>
    <w:qFormat/>
    <w:rsid w:val="0058642B"/>
    <w:pPr>
      <w:ind w:left="720"/>
      <w:contextualSpacing/>
    </w:pPr>
  </w:style>
  <w:style w:type="character" w:styleId="aa">
    <w:name w:val="Intense Emphasis"/>
    <w:basedOn w:val="a0"/>
    <w:uiPriority w:val="21"/>
    <w:qFormat/>
    <w:rsid w:val="0058642B"/>
    <w:rPr>
      <w:i/>
      <w:iCs/>
      <w:color w:val="0F4761" w:themeColor="accent1" w:themeShade="BF"/>
    </w:rPr>
  </w:style>
  <w:style w:type="paragraph" w:styleId="ab">
    <w:name w:val="Intense Quote"/>
    <w:basedOn w:val="a"/>
    <w:next w:val="a"/>
    <w:link w:val="ac"/>
    <w:uiPriority w:val="30"/>
    <w:qFormat/>
    <w:rsid w:val="0058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8642B"/>
    <w:rPr>
      <w:i/>
      <w:iCs/>
      <w:color w:val="0F4761" w:themeColor="accent1" w:themeShade="BF"/>
    </w:rPr>
  </w:style>
  <w:style w:type="character" w:styleId="ad">
    <w:name w:val="Intense Reference"/>
    <w:basedOn w:val="a0"/>
    <w:uiPriority w:val="32"/>
    <w:qFormat/>
    <w:rsid w:val="0058642B"/>
    <w:rPr>
      <w:b/>
      <w:bCs/>
      <w:smallCaps/>
      <w:color w:val="0F4761" w:themeColor="accent1" w:themeShade="BF"/>
      <w:spacing w:val="5"/>
    </w:rPr>
  </w:style>
  <w:style w:type="paragraph" w:styleId="ae">
    <w:name w:val="header"/>
    <w:basedOn w:val="a"/>
    <w:link w:val="af"/>
    <w:uiPriority w:val="99"/>
    <w:unhideWhenUsed/>
    <w:qFormat/>
    <w:rsid w:val="008A5F07"/>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8A5F07"/>
    <w:rPr>
      <w:rFonts w:ascii="Calibri" w:eastAsia="等线" w:hAnsi="Calibri" w:cs="Arial"/>
      <w:kern w:val="0"/>
      <w:sz w:val="18"/>
      <w:szCs w:val="18"/>
    </w:rPr>
  </w:style>
  <w:style w:type="paragraph" w:styleId="af0">
    <w:name w:val="footer"/>
    <w:basedOn w:val="a"/>
    <w:link w:val="af1"/>
    <w:uiPriority w:val="99"/>
    <w:unhideWhenUsed/>
    <w:rsid w:val="008A5F07"/>
    <w:pPr>
      <w:tabs>
        <w:tab w:val="center" w:pos="4153"/>
        <w:tab w:val="right" w:pos="8306"/>
      </w:tabs>
      <w:snapToGrid w:val="0"/>
    </w:pPr>
    <w:rPr>
      <w:sz w:val="18"/>
      <w:szCs w:val="18"/>
    </w:rPr>
  </w:style>
  <w:style w:type="character" w:customStyle="1" w:styleId="af1">
    <w:name w:val="页脚 字符"/>
    <w:basedOn w:val="a0"/>
    <w:link w:val="af0"/>
    <w:uiPriority w:val="99"/>
    <w:rsid w:val="008A5F07"/>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3</cp:revision>
  <dcterms:created xsi:type="dcterms:W3CDTF">2025-05-13T06:49:00Z</dcterms:created>
  <dcterms:modified xsi:type="dcterms:W3CDTF">2025-05-13T07:48:00Z</dcterms:modified>
</cp:coreProperties>
</file>